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0"/>
        <w:overflowPunct w:val="false"/>
        <w:spacing w:lineRule="exact" w:line="440"/>
        <w:jc w:val="center"/>
        <w:rPr/>
      </w:pPr>
      <w:bookmarkStart w:id="0" w:name="__DdeLink__178_1748779639"/>
      <w:r>
        <w:rPr>
          <w:rStyle w:val="Style13"/>
          <w:rFonts w:ascii="標楷體" w:hAnsi="標楷體" w:eastAsia="標楷體"/>
          <w:bCs/>
          <w:spacing w:val="-2"/>
          <w:sz w:val="40"/>
          <w:szCs w:val="36"/>
        </w:rPr>
        <w:t>教育部</w:t>
      </w:r>
      <w:r>
        <w:rPr>
          <w:rStyle w:val="Style13"/>
          <w:rFonts w:ascii="標楷體" w:hAnsi="標楷體" w:eastAsia="標楷體"/>
          <w:spacing w:val="-2"/>
          <w:sz w:val="40"/>
          <w:szCs w:val="36"/>
        </w:rPr>
        <w:t>補助合格教師赴新南向友好國家學校任教</w:t>
      </w:r>
    </w:p>
    <w:p>
      <w:pPr>
        <w:pStyle w:val="Style20"/>
        <w:overflowPunct w:val="false"/>
        <w:spacing w:lineRule="exact" w:line="440"/>
        <w:jc w:val="center"/>
        <w:rPr>
          <w:rFonts w:ascii="標楷體" w:hAnsi="標楷體" w:eastAsia="標楷體"/>
          <w:spacing w:val="-2"/>
          <w:sz w:val="40"/>
          <w:szCs w:val="36"/>
        </w:rPr>
      </w:pPr>
      <w:bookmarkStart w:id="1" w:name="__DdeLink__178_1748779639"/>
      <w:bookmarkEnd w:id="1"/>
      <w:r>
        <w:rPr>
          <w:rFonts w:ascii="標楷體" w:hAnsi="標楷體" w:eastAsia="標楷體"/>
          <w:spacing w:val="-2"/>
          <w:sz w:val="40"/>
          <w:szCs w:val="36"/>
        </w:rPr>
        <w:t>試辦要點修正規定</w:t>
      </w:r>
    </w:p>
    <w:p>
      <w:pPr>
        <w:pStyle w:val="Style20"/>
        <w:overflowPunct w:val="false"/>
        <w:spacing w:lineRule="exact" w:line="440"/>
        <w:jc w:val="right"/>
        <w:rPr>
          <w:rFonts w:ascii="標楷體" w:hAnsi="標楷體" w:eastAsia="標楷體"/>
          <w:color w:val="C00000"/>
          <w:spacing w:val="-2"/>
        </w:rPr>
      </w:pPr>
      <w:r>
        <w:rPr>
          <w:rFonts w:eastAsia="標楷體" w:ascii="標楷體" w:hAnsi="標楷體"/>
          <w:color w:val="C00000"/>
          <w:spacing w:val="-2"/>
        </w:rPr>
      </w:r>
    </w:p>
    <w:p>
      <w:pPr>
        <w:pStyle w:val="Style20"/>
        <w:numPr>
          <w:ilvl w:val="0"/>
          <w:numId w:val="2"/>
        </w:numPr>
        <w:overflowPunct w:val="false"/>
        <w:spacing w:lineRule="exact" w:line="460"/>
        <w:ind w:left="560" w:right="0" w:hanging="560"/>
        <w:jc w:val="both"/>
        <w:rPr>
          <w:rFonts w:ascii="標楷體" w:hAnsi="標楷體" w:eastAsia="標楷體"/>
          <w:color w:val="000000"/>
          <w:sz w:val="28"/>
          <w:szCs w:val="28"/>
        </w:rPr>
      </w:pPr>
      <w:r>
        <w:rPr>
          <w:rFonts w:ascii="標楷體" w:hAnsi="標楷體" w:eastAsia="標楷體"/>
          <w:color w:val="000000"/>
          <w:sz w:val="28"/>
          <w:szCs w:val="28"/>
        </w:rPr>
        <w:t>教育部（以下簡稱本部）為落實新南向政策，鼓勵我國優秀合格教師赴新南向友好國家任教，協助新南向友好國家華語文學校充裕中等以下學校及幼兒園師資，特訂定本要點。</w:t>
      </w:r>
    </w:p>
    <w:p>
      <w:pPr>
        <w:pStyle w:val="Style20"/>
        <w:numPr>
          <w:ilvl w:val="0"/>
          <w:numId w:val="2"/>
        </w:numPr>
        <w:overflowPunct w:val="false"/>
        <w:spacing w:lineRule="exact" w:line="460"/>
        <w:jc w:val="both"/>
        <w:rPr>
          <w:rFonts w:ascii="標楷體" w:hAnsi="標楷體" w:eastAsia="標楷體"/>
          <w:color w:val="000000"/>
          <w:sz w:val="28"/>
          <w:szCs w:val="28"/>
        </w:rPr>
      </w:pPr>
      <w:r>
        <w:rPr>
          <w:rFonts w:ascii="標楷體" w:hAnsi="標楷體" w:eastAsia="標楷體"/>
          <w:color w:val="000000"/>
          <w:sz w:val="28"/>
          <w:szCs w:val="28"/>
        </w:rPr>
        <w:t>本要點用詞，定義如下：</w:t>
      </w:r>
    </w:p>
    <w:p>
      <w:pPr>
        <w:pStyle w:val="Style20"/>
        <w:numPr>
          <w:ilvl w:val="0"/>
          <w:numId w:val="3"/>
        </w:numPr>
        <w:overflowPunct w:val="false"/>
        <w:spacing w:lineRule="exact" w:line="460"/>
        <w:ind w:left="1040" w:right="0" w:hanging="560"/>
        <w:jc w:val="both"/>
        <w:rPr>
          <w:rFonts w:ascii="標楷體" w:hAnsi="標楷體" w:eastAsia="標楷體"/>
          <w:color w:val="000000"/>
          <w:sz w:val="28"/>
          <w:szCs w:val="28"/>
        </w:rPr>
      </w:pPr>
      <w:r>
        <w:rPr>
          <w:rFonts w:ascii="標楷體" w:hAnsi="標楷體" w:eastAsia="標楷體"/>
          <w:color w:val="000000"/>
          <w:sz w:val="28"/>
          <w:szCs w:val="28"/>
        </w:rPr>
        <w:t>教師：指具中華民國國籍，在臺灣地區設有戶籍，領有本部、臺灣省政府教育廳或直轄市、縣（市）政府核發之高級中等以下學校及幼兒園教師證書之儲備教師，且受補助期間未受聘擔任我國公立高級中等以下學校及幼兒園編制內合格有給專任教師。</w:t>
      </w:r>
    </w:p>
    <w:p>
      <w:pPr>
        <w:pStyle w:val="Style20"/>
        <w:numPr>
          <w:ilvl w:val="0"/>
          <w:numId w:val="3"/>
        </w:numPr>
        <w:overflowPunct w:val="false"/>
        <w:spacing w:lineRule="exact" w:line="460"/>
        <w:ind w:left="1040" w:right="0" w:hanging="560"/>
        <w:jc w:val="both"/>
        <w:rPr>
          <w:rFonts w:ascii="標楷體" w:hAnsi="標楷體" w:eastAsia="標楷體"/>
          <w:color w:val="000000"/>
          <w:sz w:val="28"/>
          <w:szCs w:val="28"/>
        </w:rPr>
      </w:pPr>
      <w:r>
        <w:rPr>
          <w:rFonts w:ascii="標楷體" w:hAnsi="標楷體" w:eastAsia="標楷體"/>
          <w:color w:val="000000"/>
          <w:sz w:val="28"/>
          <w:szCs w:val="28"/>
        </w:rPr>
        <w:t>學校：</w:t>
      </w:r>
    </w:p>
    <w:p>
      <w:pPr>
        <w:pStyle w:val="Style23"/>
        <w:widowControl w:val="false"/>
        <w:numPr>
          <w:ilvl w:val="0"/>
          <w:numId w:val="0"/>
        </w:numPr>
        <w:suppressAutoHyphens w:val="true"/>
        <w:overflowPunct w:val="false"/>
        <w:spacing w:lineRule="exact" w:line="460"/>
        <w:ind w:left="1361" w:right="0" w:hanging="454"/>
        <w:jc w:val="both"/>
        <w:rPr/>
      </w:pPr>
      <w:r>
        <w:rPr>
          <w:rStyle w:val="Style13"/>
          <w:rFonts w:eastAsia="標楷體" w:ascii="標楷體" w:hAnsi="標楷體"/>
          <w:color w:val="000000"/>
          <w:sz w:val="28"/>
          <w:szCs w:val="28"/>
        </w:rPr>
        <w:t>1</w:t>
      </w:r>
      <w:r>
        <w:rPr>
          <w:rStyle w:val="Style13"/>
          <w:rFonts w:ascii="標楷體" w:hAnsi="標楷體" w:eastAsia="標楷體"/>
          <w:color w:val="000000"/>
          <w:sz w:val="28"/>
          <w:szCs w:val="28"/>
        </w:rPr>
        <w:t>、依海外臺灣學校設立及輔導辦法設立之學校，包括印尼雅</w:t>
      </w:r>
    </w:p>
    <w:p>
      <w:pPr>
        <w:pStyle w:val="Style23"/>
        <w:widowControl w:val="false"/>
        <w:numPr>
          <w:ilvl w:val="0"/>
          <w:numId w:val="0"/>
        </w:numPr>
        <w:suppressAutoHyphens w:val="true"/>
        <w:overflowPunct w:val="false"/>
        <w:spacing w:lineRule="exact" w:line="460"/>
        <w:ind w:left="1361" w:right="0" w:hanging="454"/>
        <w:jc w:val="both"/>
        <w:rPr/>
      </w:pPr>
      <w:r>
        <w:rPr>
          <w:rStyle w:val="Style13"/>
          <w:rFonts w:ascii="標楷體" w:hAnsi="標楷體" w:eastAsia="標楷體"/>
          <w:color w:val="000000"/>
          <w:sz w:val="28"/>
          <w:szCs w:val="28"/>
        </w:rPr>
        <w:t xml:space="preserve">   </w:t>
      </w:r>
      <w:r>
        <w:rPr>
          <w:rStyle w:val="Style13"/>
          <w:rFonts w:ascii="標楷體" w:hAnsi="標楷體" w:eastAsia="標楷體"/>
          <w:color w:val="000000"/>
          <w:sz w:val="28"/>
          <w:szCs w:val="28"/>
        </w:rPr>
        <w:t>加達臺灣學校、印尼泗水臺灣學校、越南胡志明市臺灣學</w:t>
      </w:r>
    </w:p>
    <w:p>
      <w:pPr>
        <w:pStyle w:val="Style23"/>
        <w:widowControl w:val="false"/>
        <w:numPr>
          <w:ilvl w:val="0"/>
          <w:numId w:val="0"/>
        </w:numPr>
        <w:suppressAutoHyphens w:val="true"/>
        <w:overflowPunct w:val="false"/>
        <w:spacing w:lineRule="exact" w:line="460"/>
        <w:ind w:left="1361" w:right="0" w:hanging="454"/>
        <w:jc w:val="both"/>
        <w:rPr/>
      </w:pPr>
      <w:r>
        <w:rPr>
          <w:rStyle w:val="Style13"/>
          <w:rFonts w:ascii="標楷體" w:hAnsi="標楷體" w:eastAsia="標楷體"/>
          <w:color w:val="000000"/>
          <w:sz w:val="28"/>
          <w:szCs w:val="28"/>
        </w:rPr>
        <w:t xml:space="preserve">   </w:t>
      </w:r>
      <w:r>
        <w:rPr>
          <w:rStyle w:val="Style13"/>
          <w:rFonts w:ascii="標楷體" w:hAnsi="標楷體" w:eastAsia="標楷體"/>
          <w:color w:val="000000"/>
          <w:sz w:val="28"/>
          <w:szCs w:val="28"/>
        </w:rPr>
        <w:t>校、馬來西亞吉隆坡臺灣學校四校。</w:t>
      </w:r>
    </w:p>
    <w:p>
      <w:pPr>
        <w:pStyle w:val="Style23"/>
        <w:numPr>
          <w:ilvl w:val="0"/>
          <w:numId w:val="0"/>
        </w:numPr>
        <w:overflowPunct w:val="false"/>
        <w:spacing w:lineRule="exact" w:line="460"/>
        <w:ind w:left="0"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eastAsia="標楷體" w:ascii="標楷體" w:hAnsi="標楷體"/>
          <w:color w:val="000000"/>
          <w:sz w:val="28"/>
          <w:szCs w:val="28"/>
        </w:rPr>
        <w:t>2</w:t>
      </w:r>
      <w:r>
        <w:rPr>
          <w:rFonts w:ascii="標楷體" w:hAnsi="標楷體" w:eastAsia="標楷體"/>
          <w:color w:val="000000"/>
          <w:sz w:val="28"/>
          <w:szCs w:val="28"/>
        </w:rPr>
        <w:t>、曾向我國僑務委員會立案或備查之馬來西亞華文獨立中</w:t>
      </w:r>
    </w:p>
    <w:p>
      <w:pPr>
        <w:pStyle w:val="Style23"/>
        <w:numPr>
          <w:ilvl w:val="0"/>
          <w:numId w:val="0"/>
        </w:numPr>
        <w:overflowPunct w:val="false"/>
        <w:spacing w:lineRule="exact" w:line="460"/>
        <w:ind w:left="0"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ascii="標楷體" w:hAnsi="標楷體" w:eastAsia="標楷體"/>
          <w:color w:val="000000"/>
          <w:sz w:val="28"/>
          <w:szCs w:val="28"/>
        </w:rPr>
        <w:t>學。</w:t>
      </w:r>
    </w:p>
    <w:p>
      <w:pPr>
        <w:pStyle w:val="Style23"/>
        <w:numPr>
          <w:ilvl w:val="0"/>
          <w:numId w:val="0"/>
        </w:numPr>
        <w:tabs>
          <w:tab w:val="left" w:pos="1470" w:leader="none"/>
        </w:tabs>
        <w:overflowPunct w:val="false"/>
        <w:spacing w:lineRule="exact" w:line="460"/>
        <w:ind w:left="0"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eastAsia="標楷體" w:ascii="標楷體" w:hAnsi="標楷體"/>
          <w:color w:val="000000"/>
          <w:sz w:val="28"/>
          <w:szCs w:val="28"/>
        </w:rPr>
        <w:t>3</w:t>
      </w:r>
      <w:r>
        <w:rPr>
          <w:rFonts w:ascii="標楷體" w:hAnsi="標楷體" w:eastAsia="標楷體"/>
          <w:color w:val="000000"/>
          <w:sz w:val="28"/>
          <w:szCs w:val="28"/>
        </w:rPr>
        <w:t>、僑務委員會轄管已立案之泰北地區學校，包括泰北私立</w:t>
      </w:r>
    </w:p>
    <w:p>
      <w:pPr>
        <w:pStyle w:val="Style23"/>
        <w:numPr>
          <w:ilvl w:val="0"/>
          <w:numId w:val="0"/>
        </w:numPr>
        <w:tabs>
          <w:tab w:val="left" w:pos="1470" w:leader="none"/>
        </w:tabs>
        <w:overflowPunct w:val="false"/>
        <w:spacing w:lineRule="exact" w:line="460"/>
        <w:ind w:left="0"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ascii="標楷體" w:hAnsi="標楷體" w:eastAsia="標楷體"/>
          <w:color w:val="000000"/>
          <w:sz w:val="28"/>
          <w:szCs w:val="28"/>
        </w:rPr>
        <w:t>建華綜合高級中學、泰北滿堂建華中學、清萊光復高中、</w:t>
      </w:r>
    </w:p>
    <w:p>
      <w:pPr>
        <w:pStyle w:val="Style23"/>
        <w:numPr>
          <w:ilvl w:val="0"/>
          <w:numId w:val="0"/>
        </w:numPr>
        <w:tabs>
          <w:tab w:val="left" w:pos="1470" w:leader="none"/>
        </w:tabs>
        <w:overflowPunct w:val="false"/>
        <w:spacing w:lineRule="exact" w:line="460"/>
        <w:ind w:left="0"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ascii="標楷體" w:hAnsi="標楷體" w:eastAsia="標楷體"/>
          <w:color w:val="000000"/>
          <w:sz w:val="28"/>
          <w:szCs w:val="28"/>
        </w:rPr>
        <w:t>清萊華雲學校、清邁恩惠中學、清邁慈濟學校六校。</w:t>
      </w:r>
    </w:p>
    <w:p>
      <w:pPr>
        <w:pStyle w:val="Style20"/>
        <w:widowControl w:val="false"/>
        <w:numPr>
          <w:ilvl w:val="0"/>
          <w:numId w:val="0"/>
        </w:numPr>
        <w:suppressAutoHyphens w:val="true"/>
        <w:overflowPunct w:val="false"/>
        <w:spacing w:lineRule="exact" w:line="460"/>
        <w:ind w:left="567" w:right="0" w:firstLine="567"/>
        <w:jc w:val="both"/>
        <w:rPr>
          <w:rFonts w:ascii="標楷體" w:hAnsi="標楷體" w:eastAsia="標楷體"/>
          <w:color w:val="000000"/>
          <w:sz w:val="28"/>
          <w:szCs w:val="28"/>
        </w:rPr>
      </w:pPr>
      <w:r>
        <w:rPr>
          <w:rFonts w:eastAsia="標楷體" w:ascii="標楷體" w:hAnsi="標楷體"/>
          <w:color w:val="000000"/>
          <w:sz w:val="28"/>
          <w:szCs w:val="28"/>
        </w:rPr>
        <w:t>(</w:t>
      </w:r>
      <w:r>
        <w:rPr>
          <w:rFonts w:ascii="標楷體" w:hAnsi="標楷體" w:eastAsia="標楷體"/>
          <w:color w:val="000000"/>
          <w:sz w:val="28"/>
          <w:szCs w:val="28"/>
        </w:rPr>
        <w:t>三</w:t>
      </w:r>
      <w:r>
        <w:rPr>
          <w:rFonts w:eastAsia="標楷體" w:ascii="標楷體" w:hAnsi="標楷體"/>
          <w:color w:val="000000"/>
          <w:sz w:val="28"/>
          <w:szCs w:val="28"/>
        </w:rPr>
        <w:t>)</w:t>
      </w:r>
      <w:r>
        <w:rPr>
          <w:rFonts w:ascii="標楷體" w:hAnsi="標楷體" w:eastAsia="標楷體"/>
          <w:color w:val="000000"/>
          <w:sz w:val="28"/>
          <w:szCs w:val="28"/>
        </w:rPr>
        <w:t xml:space="preserve">駐外機構：指我國於新南向友好國家之駐外機構，包括駐印尼 </w:t>
      </w:r>
    </w:p>
    <w:p>
      <w:pPr>
        <w:pStyle w:val="Style20"/>
        <w:widowControl w:val="false"/>
        <w:numPr>
          <w:ilvl w:val="0"/>
          <w:numId w:val="0"/>
        </w:numPr>
        <w:suppressAutoHyphens w:val="true"/>
        <w:overflowPunct w:val="false"/>
        <w:spacing w:lineRule="exact" w:line="460"/>
        <w:ind w:left="567"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ascii="標楷體" w:hAnsi="標楷體" w:eastAsia="標楷體"/>
          <w:color w:val="000000"/>
          <w:sz w:val="28"/>
          <w:szCs w:val="28"/>
        </w:rPr>
        <w:t>代表處、駐胡志明市辦事處教育組、駐馬來西亞代表處教育組</w:t>
      </w:r>
    </w:p>
    <w:p>
      <w:pPr>
        <w:pStyle w:val="Style20"/>
        <w:widowControl w:val="false"/>
        <w:numPr>
          <w:ilvl w:val="0"/>
          <w:numId w:val="0"/>
        </w:numPr>
        <w:suppressAutoHyphens w:val="true"/>
        <w:overflowPunct w:val="false"/>
        <w:spacing w:lineRule="exact" w:line="460"/>
        <w:ind w:left="454" w:right="0" w:firstLine="567"/>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ascii="標楷體" w:hAnsi="標楷體" w:eastAsia="標楷體"/>
          <w:color w:val="000000"/>
          <w:sz w:val="28"/>
          <w:szCs w:val="28"/>
        </w:rPr>
        <w:t>及駐泰國代表處僑務組。</w:t>
      </w:r>
    </w:p>
    <w:p>
      <w:pPr>
        <w:pStyle w:val="Style20"/>
        <w:widowControl w:val="false"/>
        <w:numPr>
          <w:ilvl w:val="0"/>
          <w:numId w:val="0"/>
        </w:numPr>
        <w:suppressAutoHyphens w:val="true"/>
        <w:overflowPunct w:val="false"/>
        <w:spacing w:lineRule="exact" w:line="460"/>
        <w:ind w:left="0" w:right="0" w:hanging="510"/>
        <w:jc w:val="both"/>
        <w:rPr>
          <w:rFonts w:ascii="標楷體" w:hAnsi="標楷體" w:eastAsia="標楷體"/>
          <w:color w:val="000000"/>
          <w:sz w:val="28"/>
          <w:szCs w:val="28"/>
        </w:rPr>
      </w:pPr>
      <w:r>
        <w:rPr>
          <w:rFonts w:ascii="標楷體" w:hAnsi="標楷體" w:eastAsia="標楷體"/>
          <w:color w:val="000000"/>
          <w:sz w:val="28"/>
          <w:szCs w:val="28"/>
        </w:rPr>
        <w:t>三、補助原則：</w:t>
      </w:r>
    </w:p>
    <w:p>
      <w:pPr>
        <w:pStyle w:val="Style20"/>
        <w:widowControl w:val="false"/>
        <w:numPr>
          <w:ilvl w:val="0"/>
          <w:numId w:val="5"/>
        </w:numPr>
        <w:suppressAutoHyphens w:val="true"/>
        <w:overflowPunct w:val="false"/>
        <w:spacing w:lineRule="exact" w:line="460"/>
        <w:ind w:left="1077" w:right="0" w:hanging="567"/>
        <w:jc w:val="both"/>
        <w:rPr/>
      </w:pPr>
      <w:r>
        <w:rPr>
          <w:rStyle w:val="Style13"/>
          <w:rFonts w:ascii="標楷體" w:hAnsi="標楷體" w:eastAsia="標楷體"/>
          <w:color w:val="000000"/>
          <w:sz w:val="28"/>
          <w:szCs w:val="28"/>
        </w:rPr>
        <w:t>教師應聘赴新南向友好國家學校擔任專任教師，其薪資</w:t>
      </w:r>
      <w:r>
        <w:rPr>
          <w:rStyle w:val="Style13"/>
          <w:rFonts w:ascii="標楷體" w:hAnsi="標楷體" w:eastAsia="標楷體"/>
          <w:sz w:val="28"/>
          <w:szCs w:val="28"/>
        </w:rPr>
        <w:t>、新南向</w:t>
      </w:r>
      <w:r>
        <w:rPr>
          <w:rStyle w:val="Style13"/>
          <w:rFonts w:ascii="標楷體" w:hAnsi="標楷體" w:eastAsia="標楷體"/>
          <w:color w:val="000000"/>
          <w:sz w:val="28"/>
          <w:szCs w:val="28"/>
        </w:rPr>
        <w:t>生活津貼及新南向交通津貼均由本部支付，並以新臺幣計算及發給。</w:t>
      </w:r>
    </w:p>
    <w:p>
      <w:pPr>
        <w:pStyle w:val="Style20"/>
        <w:numPr>
          <w:ilvl w:val="0"/>
          <w:numId w:val="5"/>
        </w:numPr>
        <w:overflowPunct w:val="false"/>
        <w:spacing w:lineRule="exact" w:line="460"/>
        <w:ind w:left="1040" w:right="0" w:hanging="560"/>
        <w:jc w:val="both"/>
        <w:rPr/>
      </w:pPr>
      <w:r>
        <w:rPr>
          <w:rStyle w:val="Style13"/>
          <w:rFonts w:ascii="標楷體" w:hAnsi="標楷體" w:eastAsia="標楷體"/>
          <w:sz w:val="28"/>
          <w:szCs w:val="28"/>
        </w:rPr>
        <w:t>同一教師依本要點請領薪資、新南向生活津貼及新南向交通津貼，同一學校以二年為原則，不同學校累計最多不超過四年。</w:t>
      </w:r>
    </w:p>
    <w:p>
      <w:pPr>
        <w:pStyle w:val="Style20"/>
        <w:numPr>
          <w:ilvl w:val="0"/>
          <w:numId w:val="5"/>
        </w:numPr>
        <w:overflowPunct w:val="false"/>
        <w:spacing w:lineRule="exact" w:line="460"/>
        <w:ind w:left="1040" w:right="0" w:hanging="560"/>
        <w:rPr>
          <w:rFonts w:ascii="標楷體" w:hAnsi="標楷體" w:eastAsia="標楷體"/>
          <w:color w:val="000000"/>
          <w:sz w:val="28"/>
          <w:szCs w:val="28"/>
        </w:rPr>
      </w:pPr>
      <w:r>
        <w:rPr>
          <w:rFonts w:ascii="標楷體" w:hAnsi="標楷體" w:eastAsia="標楷體"/>
          <w:color w:val="000000"/>
          <w:sz w:val="28"/>
          <w:szCs w:val="28"/>
        </w:rPr>
        <w:t>本部每年補助名額依當年度預算調整，並視學校實際需求情形核定。</w:t>
      </w:r>
    </w:p>
    <w:p>
      <w:pPr>
        <w:pStyle w:val="Style20"/>
        <w:widowControl w:val="false"/>
        <w:numPr>
          <w:ilvl w:val="0"/>
          <w:numId w:val="0"/>
        </w:numPr>
        <w:suppressAutoHyphens w:val="true"/>
        <w:overflowPunct w:val="false"/>
        <w:spacing w:lineRule="exact" w:line="460"/>
        <w:ind w:left="57" w:right="0" w:hanging="510"/>
        <w:jc w:val="both"/>
        <w:rPr>
          <w:rFonts w:ascii="標楷體" w:hAnsi="標楷體" w:eastAsia="標楷體"/>
          <w:color w:val="000000"/>
          <w:sz w:val="28"/>
          <w:szCs w:val="28"/>
        </w:rPr>
      </w:pPr>
      <w:r>
        <w:rPr>
          <w:rFonts w:ascii="標楷體" w:hAnsi="標楷體" w:eastAsia="標楷體"/>
          <w:color w:val="000000"/>
          <w:sz w:val="28"/>
          <w:szCs w:val="28"/>
        </w:rPr>
        <w:t>四、補助內容：</w:t>
      </w:r>
    </w:p>
    <w:p>
      <w:pPr>
        <w:pStyle w:val="Style20"/>
        <w:widowControl w:val="false"/>
        <w:numPr>
          <w:ilvl w:val="0"/>
          <w:numId w:val="0"/>
        </w:numPr>
        <w:suppressAutoHyphens w:val="true"/>
        <w:overflowPunct w:val="false"/>
        <w:spacing w:lineRule="exact" w:line="460"/>
        <w:ind w:left="510" w:right="0" w:hanging="0"/>
        <w:jc w:val="both"/>
        <w:rPr>
          <w:rFonts w:ascii="標楷體" w:hAnsi="標楷體" w:eastAsia="標楷體"/>
          <w:color w:val="000000"/>
          <w:sz w:val="28"/>
          <w:szCs w:val="28"/>
        </w:rPr>
      </w:pPr>
      <w:r>
        <w:rPr>
          <w:rFonts w:eastAsia="標楷體" w:ascii="標楷體" w:hAnsi="標楷體"/>
          <w:color w:val="000000"/>
          <w:sz w:val="28"/>
          <w:szCs w:val="28"/>
        </w:rPr>
        <w:t>(</w:t>
      </w:r>
      <w:r>
        <w:rPr>
          <w:rFonts w:ascii="標楷體" w:hAnsi="標楷體" w:eastAsia="標楷體"/>
          <w:color w:val="000000"/>
          <w:sz w:val="28"/>
          <w:szCs w:val="28"/>
        </w:rPr>
        <w:t>一</w:t>
      </w:r>
      <w:r>
        <w:rPr>
          <w:rFonts w:eastAsia="標楷體" w:ascii="標楷體" w:hAnsi="標楷體"/>
          <w:color w:val="000000"/>
          <w:sz w:val="28"/>
          <w:szCs w:val="28"/>
        </w:rPr>
        <w:t>)</w:t>
      </w:r>
      <w:r>
        <w:rPr>
          <w:rFonts w:ascii="標楷體" w:hAnsi="標楷體" w:eastAsia="標楷體"/>
          <w:color w:val="000000"/>
          <w:sz w:val="28"/>
          <w:szCs w:val="28"/>
        </w:rPr>
        <w:t>薪資：包括月薪、年終工作獎金及考績獎金。</w:t>
      </w:r>
    </w:p>
    <w:p>
      <w:pPr>
        <w:pStyle w:val="Style23"/>
        <w:numPr>
          <w:ilvl w:val="0"/>
          <w:numId w:val="7"/>
        </w:numPr>
        <w:overflowPunct w:val="false"/>
        <w:spacing w:lineRule="exact" w:line="460"/>
        <w:jc w:val="both"/>
        <w:rPr>
          <w:rFonts w:ascii="標楷體" w:hAnsi="標楷體" w:eastAsia="標楷體"/>
          <w:color w:val="000000"/>
          <w:sz w:val="28"/>
          <w:szCs w:val="28"/>
        </w:rPr>
      </w:pPr>
      <w:r>
        <w:rPr>
          <w:rFonts w:ascii="標楷體" w:hAnsi="標楷體" w:eastAsia="標楷體"/>
          <w:color w:val="000000"/>
          <w:sz w:val="28"/>
          <w:szCs w:val="28"/>
        </w:rPr>
        <w:t>月薪（包括本俸及專業加給）比照教師待遇條例所定基準發給，並得採計教師之代理年資提敘薪級。</w:t>
      </w:r>
    </w:p>
    <w:p>
      <w:pPr>
        <w:pStyle w:val="Style23"/>
        <w:numPr>
          <w:ilvl w:val="0"/>
          <w:numId w:val="7"/>
        </w:numPr>
        <w:overflowPunct w:val="false"/>
        <w:spacing w:lineRule="exact" w:line="460"/>
        <w:jc w:val="both"/>
        <w:rPr>
          <w:rFonts w:ascii="標楷體" w:hAnsi="標楷體" w:eastAsia="標楷體"/>
          <w:color w:val="000000"/>
          <w:sz w:val="28"/>
          <w:szCs w:val="28"/>
        </w:rPr>
      </w:pPr>
      <w:r>
        <w:rPr>
          <w:rFonts w:ascii="標楷體" w:hAnsi="標楷體" w:eastAsia="標楷體"/>
          <w:color w:val="000000"/>
          <w:sz w:val="28"/>
          <w:szCs w:val="28"/>
        </w:rPr>
        <w:t>年終工作獎金比照行政院當年度軍公教人員年終工作獎金發給注意事項發給。</w:t>
      </w:r>
    </w:p>
    <w:p>
      <w:pPr>
        <w:pStyle w:val="Style23"/>
        <w:numPr>
          <w:ilvl w:val="0"/>
          <w:numId w:val="7"/>
        </w:numPr>
        <w:overflowPunct w:val="false"/>
        <w:spacing w:lineRule="exact" w:line="460"/>
        <w:jc w:val="both"/>
        <w:rPr>
          <w:rFonts w:ascii="標楷體" w:hAnsi="標楷體" w:eastAsia="標楷體"/>
          <w:color w:val="000000"/>
          <w:sz w:val="28"/>
          <w:szCs w:val="28"/>
        </w:rPr>
      </w:pPr>
      <w:r>
        <w:rPr>
          <w:rFonts w:ascii="標楷體" w:hAnsi="標楷體" w:eastAsia="標楷體"/>
          <w:color w:val="000000"/>
          <w:sz w:val="28"/>
          <w:szCs w:val="28"/>
        </w:rPr>
        <w:t>考績獎金比照公立高級中等以下學校教師成績考核辦法發給。</w:t>
      </w:r>
    </w:p>
    <w:p>
      <w:pPr>
        <w:pStyle w:val="Style20"/>
        <w:numPr>
          <w:ilvl w:val="0"/>
          <w:numId w:val="6"/>
        </w:numPr>
        <w:overflowPunct w:val="false"/>
        <w:spacing w:lineRule="exact" w:line="460"/>
        <w:ind w:left="1040" w:right="0" w:hanging="560"/>
        <w:jc w:val="both"/>
        <w:rPr>
          <w:rFonts w:ascii="標楷體" w:hAnsi="標楷體" w:eastAsia="標楷體"/>
          <w:color w:val="000000"/>
          <w:sz w:val="28"/>
          <w:szCs w:val="28"/>
        </w:rPr>
      </w:pPr>
      <w:r>
        <w:rPr>
          <w:rFonts w:ascii="標楷體" w:hAnsi="標楷體" w:eastAsia="標楷體"/>
          <w:color w:val="000000"/>
          <w:sz w:val="28"/>
          <w:szCs w:val="28"/>
        </w:rPr>
        <w:t>新南向生活津貼：依教師受聘學校所在國家及實際任職期間發給。每月補助額度為印尼地區：二萬四千元、馬來西亞地區：二萬二千元、越南地區：二萬元、泰北地區：一萬六千元。</w:t>
      </w:r>
    </w:p>
    <w:p>
      <w:pPr>
        <w:pStyle w:val="Style20"/>
        <w:numPr>
          <w:ilvl w:val="0"/>
          <w:numId w:val="6"/>
        </w:numPr>
        <w:overflowPunct w:val="false"/>
        <w:spacing w:lineRule="exact" w:line="460"/>
        <w:ind w:left="1040" w:right="0" w:hanging="560"/>
        <w:jc w:val="both"/>
        <w:rPr>
          <w:rFonts w:ascii="標楷體" w:hAnsi="標楷體" w:eastAsia="標楷體"/>
          <w:color w:val="000000"/>
          <w:sz w:val="28"/>
          <w:szCs w:val="28"/>
        </w:rPr>
      </w:pPr>
      <w:r>
        <w:rPr>
          <w:rFonts w:ascii="標楷體" w:hAnsi="標楷體" w:eastAsia="標楷體"/>
          <w:color w:val="000000"/>
          <w:sz w:val="28"/>
          <w:szCs w:val="28"/>
        </w:rPr>
        <w:t>新南向交通津貼：補助教師自我國至任教國家最直接航程經濟艙機票費用（需優先搭乘國籍航空），每（學）年往返機票各一張，其費用上限為印尼地區：二萬五千元、馬來西亞地區：一萬五千元、越南地區：一萬八千元、泰北地區：二萬五千元；交通津貼限教師本人使用，並依教師具名之（電子）購票證明或票根於額度內核實報支。</w:t>
      </w:r>
    </w:p>
    <w:p>
      <w:pPr>
        <w:pStyle w:val="Style20"/>
        <w:widowControl w:val="false"/>
        <w:numPr>
          <w:ilvl w:val="0"/>
          <w:numId w:val="0"/>
        </w:numPr>
        <w:suppressAutoHyphens w:val="true"/>
        <w:overflowPunct w:val="false"/>
        <w:spacing w:lineRule="exact" w:line="460"/>
        <w:ind w:left="0" w:right="0" w:hanging="510"/>
        <w:jc w:val="both"/>
        <w:rPr>
          <w:rFonts w:ascii="標楷體" w:hAnsi="標楷體" w:eastAsia="標楷體"/>
          <w:color w:val="000000"/>
          <w:sz w:val="28"/>
          <w:szCs w:val="28"/>
        </w:rPr>
      </w:pPr>
      <w:r>
        <w:rPr>
          <w:rFonts w:ascii="標楷體" w:hAnsi="標楷體" w:eastAsia="標楷體"/>
          <w:color w:val="000000"/>
          <w:sz w:val="28"/>
          <w:szCs w:val="28"/>
        </w:rPr>
        <w:t>五、作業程序：</w:t>
      </w:r>
    </w:p>
    <w:p>
      <w:pPr>
        <w:pStyle w:val="Style20"/>
        <w:numPr>
          <w:ilvl w:val="0"/>
          <w:numId w:val="8"/>
        </w:numPr>
        <w:overflowPunct w:val="false"/>
        <w:spacing w:lineRule="exact" w:line="460"/>
        <w:ind w:left="1040" w:right="0" w:hanging="560"/>
        <w:jc w:val="both"/>
        <w:rPr>
          <w:rFonts w:ascii="標楷體" w:hAnsi="標楷體" w:eastAsia="標楷體"/>
          <w:color w:val="000000"/>
          <w:sz w:val="28"/>
          <w:szCs w:val="28"/>
        </w:rPr>
      </w:pPr>
      <w:r>
        <w:rPr>
          <w:rFonts w:ascii="標楷體" w:hAnsi="標楷體" w:eastAsia="標楷體"/>
          <w:color w:val="000000"/>
          <w:sz w:val="28"/>
          <w:szCs w:val="28"/>
        </w:rPr>
        <w:t>簽訂契約書：學校應於辦理教師甄選前與本部簽訂契約書；教師應於赴任前與本部簽訂契約書；契約書內容由本部另訂之。</w:t>
      </w:r>
    </w:p>
    <w:p>
      <w:pPr>
        <w:pStyle w:val="Style20"/>
        <w:numPr>
          <w:ilvl w:val="0"/>
          <w:numId w:val="8"/>
        </w:numPr>
        <w:overflowPunct w:val="false"/>
        <w:spacing w:lineRule="exact" w:line="460"/>
        <w:ind w:left="1040" w:right="0" w:hanging="560"/>
        <w:jc w:val="both"/>
        <w:rPr>
          <w:rFonts w:ascii="標楷體" w:hAnsi="標楷體" w:eastAsia="標楷體"/>
          <w:color w:val="000000"/>
          <w:sz w:val="28"/>
          <w:szCs w:val="28"/>
        </w:rPr>
      </w:pPr>
      <w:r>
        <w:rPr>
          <w:rFonts w:ascii="標楷體" w:hAnsi="標楷體" w:eastAsia="標楷體"/>
          <w:color w:val="000000"/>
          <w:sz w:val="28"/>
          <w:szCs w:val="28"/>
        </w:rPr>
        <w:t>名額核定：</w:t>
      </w:r>
    </w:p>
    <w:p>
      <w:pPr>
        <w:pStyle w:val="Style23"/>
        <w:numPr>
          <w:ilvl w:val="0"/>
          <w:numId w:val="9"/>
        </w:numPr>
        <w:overflowPunct w:val="false"/>
        <w:spacing w:lineRule="exact" w:line="460"/>
        <w:jc w:val="both"/>
        <w:rPr>
          <w:rFonts w:ascii="標楷體" w:hAnsi="標楷體" w:eastAsia="標楷體"/>
          <w:color w:val="000000"/>
          <w:sz w:val="28"/>
          <w:szCs w:val="28"/>
        </w:rPr>
      </w:pPr>
      <w:r>
        <w:rPr>
          <w:rFonts w:ascii="標楷體" w:hAnsi="標楷體" w:eastAsia="標楷體"/>
          <w:color w:val="000000"/>
          <w:sz w:val="28"/>
          <w:szCs w:val="28"/>
        </w:rPr>
        <w:t>學校如有意聘任我國合格教師前往任教，應於本部指定日期前，檢附學校簡介、師資需求及福利待遇、聘約及其他相關資料報請駐外機構函送本部。</w:t>
      </w:r>
    </w:p>
    <w:p>
      <w:pPr>
        <w:pStyle w:val="Style23"/>
        <w:numPr>
          <w:ilvl w:val="0"/>
          <w:numId w:val="9"/>
        </w:numPr>
        <w:overflowPunct w:val="false"/>
        <w:spacing w:lineRule="exact" w:line="460"/>
        <w:jc w:val="both"/>
        <w:rPr>
          <w:rFonts w:ascii="標楷體" w:hAnsi="標楷體" w:eastAsia="標楷體"/>
          <w:color w:val="000000"/>
          <w:sz w:val="28"/>
          <w:szCs w:val="28"/>
        </w:rPr>
      </w:pPr>
      <w:r>
        <w:rPr>
          <w:rFonts w:ascii="標楷體" w:hAnsi="標楷體" w:eastAsia="標楷體"/>
          <w:color w:val="000000"/>
          <w:sz w:val="28"/>
          <w:szCs w:val="28"/>
        </w:rPr>
        <w:t>本部於審查學校所送書面資料後，核定各校補助名額。</w:t>
      </w:r>
    </w:p>
    <w:p>
      <w:pPr>
        <w:pStyle w:val="Style20"/>
        <w:widowControl w:val="false"/>
        <w:numPr>
          <w:ilvl w:val="0"/>
          <w:numId w:val="0"/>
        </w:numPr>
        <w:suppressAutoHyphens w:val="true"/>
        <w:overflowPunct w:val="false"/>
        <w:spacing w:lineRule="exact" w:line="460"/>
        <w:ind w:left="510" w:right="0" w:hanging="0"/>
        <w:jc w:val="both"/>
        <w:rPr>
          <w:rFonts w:ascii="標楷體" w:hAnsi="標楷體" w:eastAsia="標楷體"/>
          <w:color w:val="000000"/>
          <w:sz w:val="28"/>
          <w:szCs w:val="28"/>
        </w:rPr>
      </w:pPr>
      <w:r>
        <w:rPr>
          <w:rFonts w:eastAsia="標楷體" w:ascii="標楷體" w:hAnsi="標楷體"/>
          <w:color w:val="000000"/>
          <w:sz w:val="28"/>
          <w:szCs w:val="28"/>
        </w:rPr>
        <w:t>(</w:t>
      </w:r>
      <w:r>
        <w:rPr>
          <w:rFonts w:ascii="標楷體" w:hAnsi="標楷體" w:eastAsia="標楷體"/>
          <w:color w:val="000000"/>
          <w:sz w:val="28"/>
          <w:szCs w:val="28"/>
        </w:rPr>
        <w:t>三</w:t>
      </w:r>
      <w:r>
        <w:rPr>
          <w:rFonts w:eastAsia="標楷體" w:ascii="標楷體" w:hAnsi="標楷體"/>
          <w:color w:val="000000"/>
          <w:sz w:val="28"/>
          <w:szCs w:val="28"/>
        </w:rPr>
        <w:t>)</w:t>
      </w:r>
      <w:r>
        <w:rPr>
          <w:rFonts w:ascii="標楷體" w:hAnsi="標楷體" w:eastAsia="標楷體"/>
          <w:color w:val="000000"/>
          <w:sz w:val="28"/>
          <w:szCs w:val="28"/>
        </w:rPr>
        <w:t>甄選：</w:t>
      </w:r>
    </w:p>
    <w:p>
      <w:pPr>
        <w:pStyle w:val="Style23"/>
        <w:widowControl w:val="false"/>
        <w:numPr>
          <w:ilvl w:val="0"/>
          <w:numId w:val="10"/>
        </w:numPr>
        <w:suppressAutoHyphens w:val="true"/>
        <w:overflowPunct w:val="false"/>
        <w:spacing w:lineRule="exact" w:line="460"/>
        <w:ind w:left="1757" w:right="0" w:hanging="454"/>
        <w:jc w:val="both"/>
        <w:rPr>
          <w:rFonts w:ascii="標楷體" w:hAnsi="標楷體" w:eastAsia="標楷體"/>
          <w:color w:val="000000"/>
          <w:sz w:val="28"/>
          <w:szCs w:val="28"/>
        </w:rPr>
      </w:pPr>
      <w:r>
        <w:rPr>
          <w:rFonts w:ascii="標楷體" w:hAnsi="標楷體" w:eastAsia="標楷體"/>
          <w:color w:val="000000"/>
          <w:sz w:val="28"/>
          <w:szCs w:val="28"/>
        </w:rPr>
        <w:t>學校應依本部核定補助名額擬定招聘簡章報請駐外機構函送本部備查後，於全國高級中等以下學校教師選聘網（網址</w:t>
      </w:r>
      <w:r>
        <w:rPr>
          <w:rFonts w:eastAsia="標楷體" w:ascii="標楷體" w:hAnsi="標楷體"/>
          <w:color w:val="000000"/>
          <w:sz w:val="28"/>
          <w:szCs w:val="28"/>
        </w:rPr>
        <w:t>http://tsn.moe.edu.tw</w:t>
      </w:r>
      <w:r>
        <w:rPr>
          <w:rFonts w:ascii="標楷體" w:hAnsi="標楷體" w:eastAsia="標楷體"/>
          <w:color w:val="000000"/>
          <w:sz w:val="28"/>
          <w:szCs w:val="28"/>
        </w:rPr>
        <w:t>）公布。</w:t>
      </w:r>
    </w:p>
    <w:p>
      <w:pPr>
        <w:pStyle w:val="Style23"/>
        <w:numPr>
          <w:ilvl w:val="0"/>
          <w:numId w:val="10"/>
        </w:numPr>
        <w:overflowPunct w:val="false"/>
        <w:spacing w:lineRule="exact" w:line="460"/>
        <w:jc w:val="both"/>
        <w:rPr>
          <w:rFonts w:ascii="標楷體" w:hAnsi="標楷體" w:eastAsia="標楷體"/>
          <w:color w:val="000000"/>
          <w:sz w:val="28"/>
          <w:szCs w:val="28"/>
        </w:rPr>
      </w:pPr>
      <w:r>
        <w:rPr>
          <w:rFonts w:ascii="標楷體" w:hAnsi="標楷體" w:eastAsia="標楷體"/>
          <w:color w:val="000000"/>
          <w:sz w:val="28"/>
          <w:szCs w:val="28"/>
        </w:rPr>
        <w:t>學校應依簡章，秉持公平、公正、公開之原則辦理教師甄選。</w:t>
      </w:r>
    </w:p>
    <w:p>
      <w:pPr>
        <w:pStyle w:val="Style23"/>
        <w:numPr>
          <w:ilvl w:val="0"/>
          <w:numId w:val="10"/>
        </w:numPr>
        <w:overflowPunct w:val="false"/>
        <w:spacing w:lineRule="exact" w:line="460"/>
        <w:jc w:val="both"/>
        <w:rPr>
          <w:rFonts w:ascii="標楷體" w:hAnsi="標楷體" w:eastAsia="標楷體"/>
          <w:color w:val="000000"/>
          <w:sz w:val="28"/>
          <w:szCs w:val="28"/>
        </w:rPr>
      </w:pPr>
      <w:r>
        <w:rPr>
          <w:rFonts w:ascii="標楷體" w:hAnsi="標楷體" w:eastAsia="標楷體"/>
          <w:color w:val="000000"/>
          <w:sz w:val="28"/>
          <w:szCs w:val="28"/>
        </w:rPr>
        <w:t>教師應檢附學經歷證明文件及簡章指定資料報名參加甄選；現職已於本要點所定學校任教，及本部備查學校招聘簡章後自該校離職未滿一年之教師，不得報名參加甄選。</w:t>
      </w:r>
    </w:p>
    <w:p>
      <w:pPr>
        <w:pStyle w:val="Style20"/>
        <w:widowControl w:val="false"/>
        <w:numPr>
          <w:ilvl w:val="0"/>
          <w:numId w:val="0"/>
        </w:numPr>
        <w:tabs>
          <w:tab w:val="left" w:pos="-465" w:leader="none"/>
        </w:tabs>
        <w:suppressAutoHyphens w:val="true"/>
        <w:overflowPunct w:val="false"/>
        <w:spacing w:lineRule="exact" w:line="460"/>
        <w:ind w:left="567" w:right="0" w:hanging="567"/>
        <w:jc w:val="both"/>
        <w:rPr>
          <w:rFonts w:ascii="標楷體" w:hAnsi="標楷體" w:eastAsia="標楷體"/>
          <w:color w:val="000000"/>
          <w:sz w:val="28"/>
          <w:szCs w:val="28"/>
        </w:rPr>
      </w:pPr>
      <w:r>
        <w:rPr>
          <w:rFonts w:eastAsia="標楷體" w:ascii="標楷體" w:hAnsi="標楷體"/>
          <w:color w:val="000000"/>
          <w:sz w:val="28"/>
          <w:szCs w:val="28"/>
        </w:rPr>
        <w:t>(</w:t>
      </w:r>
      <w:r>
        <w:rPr>
          <w:rFonts w:ascii="標楷體" w:hAnsi="標楷體" w:eastAsia="標楷體"/>
          <w:color w:val="000000"/>
          <w:sz w:val="28"/>
          <w:szCs w:val="28"/>
        </w:rPr>
        <w:t>四</w:t>
      </w:r>
      <w:r>
        <w:rPr>
          <w:rFonts w:eastAsia="標楷體" w:ascii="標楷體" w:hAnsi="標楷體"/>
          <w:color w:val="000000"/>
          <w:sz w:val="28"/>
          <w:szCs w:val="28"/>
        </w:rPr>
        <w:t>)</w:t>
      </w:r>
      <w:r>
        <w:rPr>
          <w:rFonts w:ascii="標楷體" w:hAnsi="標楷體" w:eastAsia="標楷體"/>
          <w:color w:val="000000"/>
          <w:sz w:val="28"/>
          <w:szCs w:val="28"/>
        </w:rPr>
        <w:t>聘用：</w:t>
      </w:r>
    </w:p>
    <w:p>
      <w:pPr>
        <w:pStyle w:val="Style23"/>
        <w:numPr>
          <w:ilvl w:val="0"/>
          <w:numId w:val="11"/>
        </w:numPr>
        <w:overflowPunct w:val="false"/>
        <w:spacing w:lineRule="exact" w:line="460"/>
        <w:ind w:left="1701" w:right="0" w:hanging="425"/>
        <w:jc w:val="both"/>
        <w:rPr>
          <w:rFonts w:ascii="標楷體" w:hAnsi="標楷體" w:eastAsia="標楷體"/>
          <w:color w:val="000000"/>
          <w:sz w:val="28"/>
          <w:szCs w:val="28"/>
        </w:rPr>
      </w:pPr>
      <w:r>
        <w:rPr>
          <w:rFonts w:ascii="標楷體" w:hAnsi="標楷體" w:eastAsia="標楷體"/>
          <w:color w:val="000000"/>
          <w:sz w:val="28"/>
          <w:szCs w:val="28"/>
        </w:rPr>
        <w:t>學校完成甄選後，應於一週內將「錄取教師名冊」報請駐外機構函送本部備查，並得增列備取人員，俾利本部核算教師補助費用。</w:t>
      </w:r>
    </w:p>
    <w:p>
      <w:pPr>
        <w:pStyle w:val="Style23"/>
        <w:widowControl w:val="false"/>
        <w:numPr>
          <w:ilvl w:val="0"/>
          <w:numId w:val="11"/>
        </w:numPr>
        <w:suppressAutoHyphens w:val="true"/>
        <w:overflowPunct w:val="false"/>
        <w:spacing w:lineRule="exact" w:line="460"/>
        <w:ind w:left="1247"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學校應於教師到任後二週內，應編製「正式到職教師名 </w:t>
      </w:r>
    </w:p>
    <w:p>
      <w:pPr>
        <w:pStyle w:val="Style23"/>
        <w:widowControl w:val="false"/>
        <w:numPr>
          <w:ilvl w:val="0"/>
          <w:numId w:val="0"/>
        </w:numPr>
        <w:suppressAutoHyphens w:val="true"/>
        <w:overflowPunct w:val="false"/>
        <w:spacing w:lineRule="exact" w:line="460"/>
        <w:ind w:left="1247"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ascii="標楷體" w:hAnsi="標楷體" w:eastAsia="標楷體"/>
          <w:color w:val="000000"/>
          <w:sz w:val="28"/>
          <w:szCs w:val="28"/>
        </w:rPr>
        <w:t>冊」，並檢附已完成簽訂之教師聘書影本，報請駐外機</w:t>
      </w:r>
    </w:p>
    <w:p>
      <w:pPr>
        <w:pStyle w:val="Style23"/>
        <w:widowControl w:val="false"/>
        <w:numPr>
          <w:ilvl w:val="0"/>
          <w:numId w:val="0"/>
        </w:numPr>
        <w:suppressAutoHyphens w:val="true"/>
        <w:overflowPunct w:val="false"/>
        <w:spacing w:lineRule="exact" w:line="460"/>
        <w:ind w:left="1247"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ascii="標楷體" w:hAnsi="標楷體" w:eastAsia="標楷體"/>
          <w:color w:val="000000"/>
          <w:sz w:val="28"/>
          <w:szCs w:val="28"/>
        </w:rPr>
        <w:t>構函送本部備查。</w:t>
      </w:r>
    </w:p>
    <w:p>
      <w:pPr>
        <w:pStyle w:val="Style20"/>
        <w:widowControl w:val="false"/>
        <w:numPr>
          <w:ilvl w:val="0"/>
          <w:numId w:val="0"/>
        </w:numPr>
        <w:suppressAutoHyphens w:val="true"/>
        <w:overflowPunct w:val="false"/>
        <w:spacing w:lineRule="exact" w:line="460"/>
        <w:ind w:left="510" w:right="0" w:firstLine="113"/>
        <w:jc w:val="both"/>
        <w:rPr>
          <w:rFonts w:ascii="標楷體" w:hAnsi="標楷體" w:eastAsia="標楷體"/>
          <w:color w:val="000000"/>
          <w:sz w:val="28"/>
          <w:szCs w:val="28"/>
        </w:rPr>
      </w:pPr>
      <w:r>
        <w:rPr>
          <w:rFonts w:eastAsia="標楷體" w:ascii="標楷體" w:hAnsi="標楷體"/>
          <w:color w:val="000000"/>
          <w:sz w:val="28"/>
          <w:szCs w:val="28"/>
        </w:rPr>
        <w:t>(</w:t>
      </w:r>
      <w:r>
        <w:rPr>
          <w:rFonts w:ascii="標楷體" w:hAnsi="標楷體" w:eastAsia="標楷體"/>
          <w:color w:val="000000"/>
          <w:sz w:val="28"/>
          <w:szCs w:val="28"/>
        </w:rPr>
        <w:t>五</w:t>
      </w:r>
      <w:r>
        <w:rPr>
          <w:rFonts w:eastAsia="標楷體" w:ascii="標楷體" w:hAnsi="標楷體"/>
          <w:color w:val="000000"/>
          <w:sz w:val="28"/>
          <w:szCs w:val="28"/>
        </w:rPr>
        <w:t>)</w:t>
      </w:r>
      <w:r>
        <w:rPr>
          <w:rFonts w:ascii="標楷體" w:hAnsi="標楷體" w:eastAsia="標楷體"/>
          <w:color w:val="000000"/>
          <w:sz w:val="28"/>
          <w:szCs w:val="28"/>
        </w:rPr>
        <w:t>發放補助：</w:t>
      </w:r>
    </w:p>
    <w:p>
      <w:pPr>
        <w:pStyle w:val="Style23"/>
        <w:widowControl w:val="false"/>
        <w:numPr>
          <w:ilvl w:val="0"/>
          <w:numId w:val="12"/>
        </w:numPr>
        <w:suppressAutoHyphens w:val="true"/>
        <w:overflowPunct w:val="false"/>
        <w:spacing w:lineRule="exact" w:line="460"/>
        <w:ind w:left="1134" w:right="0" w:hanging="0"/>
        <w:jc w:val="both"/>
        <w:rPr>
          <w:rFonts w:ascii="標楷體" w:hAnsi="標楷體" w:eastAsia="標楷體"/>
          <w:color w:val="000000"/>
          <w:sz w:val="28"/>
          <w:szCs w:val="28"/>
        </w:rPr>
      </w:pPr>
      <w:r>
        <w:rPr>
          <w:rFonts w:ascii="標楷體" w:hAnsi="標楷體" w:eastAsia="標楷體"/>
          <w:color w:val="000000"/>
          <w:sz w:val="28"/>
          <w:szCs w:val="28"/>
        </w:rPr>
        <w:t>每月薪資及新南向生活津貼：教師應檢附領據及學校提供</w:t>
      </w:r>
    </w:p>
    <w:p>
      <w:pPr>
        <w:pStyle w:val="Style23"/>
        <w:widowControl w:val="false"/>
        <w:numPr>
          <w:ilvl w:val="0"/>
          <w:numId w:val="0"/>
        </w:numPr>
        <w:suppressAutoHyphens w:val="true"/>
        <w:overflowPunct w:val="false"/>
        <w:spacing w:lineRule="exact" w:line="460"/>
        <w:ind w:left="1134"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ascii="標楷體" w:hAnsi="標楷體" w:eastAsia="標楷體"/>
          <w:color w:val="000000"/>
          <w:sz w:val="28"/>
          <w:szCs w:val="28"/>
        </w:rPr>
        <w:t xml:space="preserve">之教師差勤紀錄表，報送本部或本部指定之師資培育之大  </w:t>
      </w:r>
    </w:p>
    <w:p>
      <w:pPr>
        <w:pStyle w:val="Style23"/>
        <w:widowControl w:val="false"/>
        <w:numPr>
          <w:ilvl w:val="0"/>
          <w:numId w:val="0"/>
        </w:numPr>
        <w:suppressAutoHyphens w:val="true"/>
        <w:overflowPunct w:val="false"/>
        <w:spacing w:lineRule="exact" w:line="460"/>
        <w:ind w:left="1134"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ascii="標楷體" w:hAnsi="標楷體" w:eastAsia="標楷體"/>
          <w:color w:val="000000"/>
          <w:sz w:val="28"/>
          <w:szCs w:val="28"/>
        </w:rPr>
        <w:t>學（以下簡稱本部指定單位）依核定金額撥付至教師指定</w:t>
      </w:r>
    </w:p>
    <w:p>
      <w:pPr>
        <w:pStyle w:val="Style23"/>
        <w:widowControl w:val="false"/>
        <w:numPr>
          <w:ilvl w:val="0"/>
          <w:numId w:val="0"/>
        </w:numPr>
        <w:suppressAutoHyphens w:val="true"/>
        <w:overflowPunct w:val="false"/>
        <w:spacing w:lineRule="exact" w:line="460"/>
        <w:ind w:left="1134"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ascii="標楷體" w:hAnsi="標楷體" w:eastAsia="標楷體"/>
          <w:color w:val="000000"/>
          <w:sz w:val="28"/>
          <w:szCs w:val="28"/>
        </w:rPr>
        <w:t>之在臺帳戶。</w:t>
      </w:r>
    </w:p>
    <w:p>
      <w:pPr>
        <w:pStyle w:val="Style23"/>
        <w:widowControl w:val="false"/>
        <w:numPr>
          <w:ilvl w:val="0"/>
          <w:numId w:val="12"/>
        </w:numPr>
        <w:suppressAutoHyphens w:val="true"/>
        <w:overflowPunct w:val="false"/>
        <w:spacing w:lineRule="exact" w:line="460"/>
        <w:ind w:left="1701" w:right="0" w:hanging="567"/>
        <w:jc w:val="both"/>
        <w:rPr>
          <w:rFonts w:ascii="標楷體" w:hAnsi="標楷體" w:eastAsia="標楷體"/>
          <w:color w:val="000000"/>
          <w:sz w:val="28"/>
          <w:szCs w:val="28"/>
        </w:rPr>
      </w:pPr>
      <w:r>
        <w:rPr>
          <w:rFonts w:ascii="標楷體" w:hAnsi="標楷體" w:eastAsia="標楷體"/>
          <w:color w:val="000000"/>
          <w:sz w:val="28"/>
          <w:szCs w:val="28"/>
        </w:rPr>
        <w:t>年終工作獎金：經本部核定後通知教師，教師應檢附領據，報送本部或本部指定單位依核定金額撥付至教師指定之在臺帳戶。</w:t>
      </w:r>
    </w:p>
    <w:p>
      <w:pPr>
        <w:pStyle w:val="Style23"/>
        <w:widowControl w:val="false"/>
        <w:numPr>
          <w:ilvl w:val="0"/>
          <w:numId w:val="12"/>
        </w:numPr>
        <w:suppressAutoHyphens w:val="true"/>
        <w:overflowPunct w:val="false"/>
        <w:spacing w:lineRule="exact" w:line="460"/>
        <w:ind w:left="1134" w:right="0" w:hanging="0"/>
        <w:jc w:val="both"/>
        <w:rPr>
          <w:rFonts w:ascii="標楷體" w:hAnsi="標楷體" w:eastAsia="標楷體"/>
          <w:color w:val="000000"/>
          <w:sz w:val="28"/>
          <w:szCs w:val="28"/>
        </w:rPr>
      </w:pPr>
      <w:r>
        <w:rPr>
          <w:rFonts w:ascii="標楷體" w:hAnsi="標楷體" w:eastAsia="標楷體"/>
          <w:color w:val="000000"/>
          <w:sz w:val="28"/>
          <w:szCs w:val="28"/>
        </w:rPr>
        <w:t>考績獎金：由學校函報教師考核成績表，並經本部核定後</w:t>
      </w:r>
    </w:p>
    <w:p>
      <w:pPr>
        <w:pStyle w:val="Style23"/>
        <w:widowControl w:val="false"/>
        <w:numPr>
          <w:ilvl w:val="0"/>
          <w:numId w:val="0"/>
        </w:numPr>
        <w:suppressAutoHyphens w:val="true"/>
        <w:overflowPunct w:val="false"/>
        <w:spacing w:lineRule="exact" w:line="460"/>
        <w:ind w:left="1134"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ascii="標楷體" w:hAnsi="標楷體" w:eastAsia="標楷體"/>
          <w:color w:val="000000"/>
          <w:sz w:val="28"/>
          <w:szCs w:val="28"/>
        </w:rPr>
        <w:t>通知教師，教師應檢附領據，報送本部或本部指定單位依</w:t>
      </w:r>
    </w:p>
    <w:p>
      <w:pPr>
        <w:pStyle w:val="Style23"/>
        <w:widowControl w:val="false"/>
        <w:numPr>
          <w:ilvl w:val="0"/>
          <w:numId w:val="0"/>
        </w:numPr>
        <w:suppressAutoHyphens w:val="true"/>
        <w:overflowPunct w:val="false"/>
        <w:spacing w:lineRule="exact" w:line="460"/>
        <w:ind w:left="1134"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ascii="標楷體" w:hAnsi="標楷體" w:eastAsia="標楷體"/>
          <w:color w:val="000000"/>
          <w:sz w:val="28"/>
          <w:szCs w:val="28"/>
        </w:rPr>
        <w:t>核定金額撥付至教師指定之在臺帳戶。</w:t>
      </w:r>
    </w:p>
    <w:p>
      <w:pPr>
        <w:pStyle w:val="Style23"/>
        <w:widowControl w:val="false"/>
        <w:numPr>
          <w:ilvl w:val="0"/>
          <w:numId w:val="12"/>
        </w:numPr>
        <w:suppressAutoHyphens w:val="true"/>
        <w:overflowPunct w:val="false"/>
        <w:spacing w:lineRule="exact" w:line="460"/>
        <w:ind w:left="1134" w:right="0" w:hanging="0"/>
        <w:jc w:val="both"/>
        <w:rPr>
          <w:rFonts w:ascii="標楷體" w:hAnsi="標楷體" w:eastAsia="標楷體"/>
          <w:color w:val="000000"/>
          <w:sz w:val="28"/>
          <w:szCs w:val="28"/>
        </w:rPr>
      </w:pPr>
      <w:r>
        <w:rPr>
          <w:rFonts w:ascii="標楷體" w:hAnsi="標楷體" w:eastAsia="標楷體"/>
          <w:color w:val="000000"/>
          <w:sz w:val="28"/>
          <w:szCs w:val="28"/>
        </w:rPr>
        <w:t>新南向交通津貼：教師應檢附領據與載明教師姓名及金額</w:t>
      </w:r>
    </w:p>
    <w:p>
      <w:pPr>
        <w:pStyle w:val="Style23"/>
        <w:widowControl w:val="false"/>
        <w:numPr>
          <w:ilvl w:val="0"/>
          <w:numId w:val="0"/>
        </w:numPr>
        <w:suppressAutoHyphens w:val="true"/>
        <w:overflowPunct w:val="false"/>
        <w:spacing w:lineRule="exact" w:line="460"/>
        <w:ind w:left="1134"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ascii="標楷體" w:hAnsi="標楷體" w:eastAsia="標楷體"/>
          <w:color w:val="000000"/>
          <w:sz w:val="28"/>
          <w:szCs w:val="28"/>
        </w:rPr>
        <w:t>之票根或（電子）機票購票證明，報送本部或本部指定單</w:t>
      </w:r>
    </w:p>
    <w:p>
      <w:pPr>
        <w:pStyle w:val="Style23"/>
        <w:widowControl w:val="false"/>
        <w:numPr>
          <w:ilvl w:val="0"/>
          <w:numId w:val="0"/>
        </w:numPr>
        <w:suppressAutoHyphens w:val="true"/>
        <w:overflowPunct w:val="false"/>
        <w:spacing w:lineRule="exact" w:line="460"/>
        <w:ind w:left="1134" w:right="0" w:hanging="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ascii="標楷體" w:hAnsi="標楷體" w:eastAsia="標楷體"/>
          <w:color w:val="000000"/>
          <w:sz w:val="28"/>
          <w:szCs w:val="28"/>
        </w:rPr>
        <w:t>位於額度內核實撥付至教師指定之在臺帳戶。</w:t>
      </w:r>
    </w:p>
    <w:p>
      <w:pPr>
        <w:pStyle w:val="Style20"/>
        <w:widowControl w:val="false"/>
        <w:numPr>
          <w:ilvl w:val="0"/>
          <w:numId w:val="0"/>
        </w:numPr>
        <w:suppressAutoHyphens w:val="true"/>
        <w:overflowPunct w:val="false"/>
        <w:spacing w:lineRule="exact" w:line="460"/>
        <w:ind w:left="57" w:right="0" w:hanging="454"/>
        <w:jc w:val="both"/>
        <w:rPr>
          <w:rFonts w:ascii="標楷體" w:hAnsi="標楷體" w:eastAsia="標楷體"/>
          <w:color w:val="000000"/>
          <w:sz w:val="28"/>
          <w:szCs w:val="28"/>
        </w:rPr>
      </w:pPr>
      <w:r>
        <w:rPr>
          <w:rFonts w:ascii="標楷體" w:hAnsi="標楷體" w:eastAsia="標楷體"/>
          <w:color w:val="000000"/>
          <w:sz w:val="28"/>
          <w:szCs w:val="28"/>
        </w:rPr>
        <w:t>六、一般規定：</w:t>
      </w:r>
    </w:p>
    <w:p>
      <w:pPr>
        <w:pStyle w:val="Style23"/>
        <w:widowControl w:val="false"/>
        <w:numPr>
          <w:ilvl w:val="0"/>
          <w:numId w:val="13"/>
        </w:numPr>
        <w:suppressAutoHyphens w:val="true"/>
        <w:overflowPunct w:val="false"/>
        <w:spacing w:lineRule="exact" w:line="460"/>
        <w:ind w:left="1191" w:right="0" w:hanging="567"/>
        <w:jc w:val="both"/>
        <w:rPr>
          <w:rFonts w:ascii="標楷體" w:hAnsi="標楷體" w:eastAsia="標楷體"/>
          <w:color w:val="000000"/>
          <w:sz w:val="28"/>
          <w:szCs w:val="28"/>
        </w:rPr>
      </w:pPr>
      <w:r>
        <w:rPr>
          <w:rFonts w:ascii="標楷體" w:hAnsi="標楷體" w:eastAsia="標楷體"/>
          <w:color w:val="000000"/>
          <w:sz w:val="28"/>
          <w:szCs w:val="28"/>
        </w:rPr>
        <w:t>學校應協助教師於赴任前辦妥工作簽證，安排教師任教期間之住宿，並提供每（學）年至少一次來回機票，供教師本人或其親友使用。</w:t>
      </w:r>
    </w:p>
    <w:p>
      <w:pPr>
        <w:pStyle w:val="Style23"/>
        <w:widowControl w:val="false"/>
        <w:numPr>
          <w:ilvl w:val="0"/>
          <w:numId w:val="13"/>
        </w:numPr>
        <w:suppressAutoHyphens w:val="true"/>
        <w:overflowPunct w:val="false"/>
        <w:spacing w:lineRule="exact" w:line="460"/>
        <w:ind w:left="1191" w:right="0" w:hanging="567"/>
        <w:jc w:val="both"/>
        <w:rPr>
          <w:rFonts w:ascii="標楷體" w:hAnsi="標楷體" w:eastAsia="標楷體"/>
          <w:color w:val="000000"/>
          <w:sz w:val="28"/>
          <w:szCs w:val="28"/>
        </w:rPr>
      </w:pPr>
      <w:r>
        <w:rPr>
          <w:rFonts w:ascii="標楷體" w:hAnsi="標楷體" w:eastAsia="標楷體"/>
          <w:color w:val="000000"/>
          <w:sz w:val="28"/>
          <w:szCs w:val="28"/>
        </w:rPr>
        <w:t>學校應比照校內教職員工，提供或協助教師辦理當地相關人身安全及醫療保險。</w:t>
      </w:r>
    </w:p>
    <w:p>
      <w:pPr>
        <w:pStyle w:val="Style23"/>
        <w:widowControl w:val="false"/>
        <w:numPr>
          <w:ilvl w:val="0"/>
          <w:numId w:val="13"/>
        </w:numPr>
        <w:suppressAutoHyphens w:val="true"/>
        <w:overflowPunct w:val="false"/>
        <w:spacing w:lineRule="exact" w:line="460"/>
        <w:ind w:left="1191" w:right="0" w:hanging="567"/>
        <w:jc w:val="both"/>
        <w:rPr>
          <w:rFonts w:ascii="標楷體" w:hAnsi="標楷體" w:eastAsia="標楷體"/>
          <w:color w:val="000000"/>
          <w:sz w:val="28"/>
          <w:szCs w:val="28"/>
        </w:rPr>
      </w:pPr>
      <w:r>
        <w:rPr>
          <w:rFonts w:ascii="標楷體" w:hAnsi="標楷體" w:eastAsia="標楷體"/>
          <w:color w:val="000000"/>
          <w:sz w:val="28"/>
          <w:szCs w:val="28"/>
        </w:rPr>
        <w:t>學校安排教師兼任其他職務、加班超勤及其他衍生之費用，由學校發給。</w:t>
      </w:r>
    </w:p>
    <w:p>
      <w:pPr>
        <w:pStyle w:val="Style23"/>
        <w:widowControl w:val="false"/>
        <w:numPr>
          <w:ilvl w:val="0"/>
          <w:numId w:val="13"/>
        </w:numPr>
        <w:suppressAutoHyphens w:val="true"/>
        <w:overflowPunct w:val="false"/>
        <w:spacing w:lineRule="exact" w:line="460"/>
        <w:ind w:left="1191" w:right="0" w:hanging="567"/>
        <w:jc w:val="both"/>
        <w:rPr>
          <w:rFonts w:ascii="標楷體" w:hAnsi="標楷體" w:eastAsia="標楷體"/>
          <w:color w:val="000000"/>
          <w:sz w:val="28"/>
          <w:szCs w:val="28"/>
        </w:rPr>
      </w:pPr>
      <w:r>
        <w:rPr>
          <w:rFonts w:ascii="標楷體" w:hAnsi="標楷體" w:eastAsia="標楷體"/>
          <w:color w:val="000000"/>
          <w:sz w:val="28"/>
          <w:szCs w:val="28"/>
        </w:rPr>
        <w:t>學校得依教師教學、研究、學生輔導及年度服務績效等核發激勵獎金。</w:t>
      </w:r>
    </w:p>
    <w:p>
      <w:pPr>
        <w:pStyle w:val="Style23"/>
        <w:widowControl w:val="false"/>
        <w:numPr>
          <w:ilvl w:val="0"/>
          <w:numId w:val="13"/>
        </w:numPr>
        <w:suppressAutoHyphens w:val="true"/>
        <w:overflowPunct w:val="false"/>
        <w:spacing w:lineRule="exact" w:line="460"/>
        <w:ind w:left="1191" w:right="0" w:hanging="567"/>
        <w:jc w:val="both"/>
        <w:rPr>
          <w:rFonts w:ascii="標楷體" w:hAnsi="標楷體" w:eastAsia="標楷體"/>
          <w:color w:val="000000"/>
          <w:sz w:val="28"/>
          <w:szCs w:val="28"/>
        </w:rPr>
      </w:pPr>
      <w:r>
        <w:rPr>
          <w:rFonts w:ascii="標楷體" w:hAnsi="標楷體" w:eastAsia="標楷體"/>
          <w:color w:val="000000"/>
          <w:sz w:val="28"/>
          <w:szCs w:val="28"/>
        </w:rPr>
        <w:t>教師之到職、離職、差（旅）假、出勤管理、加班、休假、獎懲及申訴等，依學校規定及當地國法令辦理。</w:t>
      </w:r>
    </w:p>
    <w:p>
      <w:pPr>
        <w:pStyle w:val="Style23"/>
        <w:widowControl w:val="false"/>
        <w:numPr>
          <w:ilvl w:val="0"/>
          <w:numId w:val="13"/>
        </w:numPr>
        <w:suppressAutoHyphens w:val="true"/>
        <w:overflowPunct w:val="false"/>
        <w:spacing w:lineRule="exact" w:line="460"/>
        <w:ind w:left="1191" w:right="0" w:hanging="567"/>
        <w:jc w:val="both"/>
        <w:rPr>
          <w:rFonts w:ascii="標楷體" w:hAnsi="標楷體" w:eastAsia="標楷體"/>
          <w:color w:val="000000"/>
          <w:sz w:val="28"/>
          <w:szCs w:val="28"/>
        </w:rPr>
      </w:pPr>
      <w:r>
        <w:rPr>
          <w:rFonts w:ascii="標楷體" w:hAnsi="標楷體" w:eastAsia="標楷體"/>
          <w:color w:val="000000"/>
          <w:sz w:val="28"/>
          <w:szCs w:val="28"/>
        </w:rPr>
        <w:t>馬來西亞獨立中學及泰北地區學校聘用教師，其聘任資格、限制及義務，應比照海外臺灣學校設立及輔導辦法第二十一條規定辦理。</w:t>
      </w:r>
    </w:p>
    <w:p>
      <w:pPr>
        <w:pStyle w:val="Style23"/>
        <w:widowControl w:val="false"/>
        <w:numPr>
          <w:ilvl w:val="0"/>
          <w:numId w:val="13"/>
        </w:numPr>
        <w:suppressAutoHyphens w:val="true"/>
        <w:overflowPunct w:val="false"/>
        <w:spacing w:lineRule="exact" w:line="460"/>
        <w:ind w:left="1247" w:right="0" w:hanging="567"/>
        <w:jc w:val="both"/>
        <w:rPr>
          <w:rFonts w:ascii="標楷體" w:hAnsi="標楷體" w:eastAsia="標楷體"/>
          <w:color w:val="000000"/>
          <w:sz w:val="28"/>
          <w:szCs w:val="28"/>
        </w:rPr>
      </w:pPr>
      <w:r>
        <w:rPr>
          <w:rFonts w:ascii="標楷體" w:hAnsi="標楷體" w:eastAsia="標楷體"/>
          <w:color w:val="000000"/>
          <w:sz w:val="28"/>
          <w:szCs w:val="28"/>
        </w:rPr>
        <w:t>教師應自行負擔國內外相關稅賦。</w:t>
      </w:r>
    </w:p>
    <w:p>
      <w:pPr>
        <w:pStyle w:val="Style23"/>
        <w:widowControl w:val="false"/>
        <w:numPr>
          <w:ilvl w:val="0"/>
          <w:numId w:val="13"/>
        </w:numPr>
        <w:suppressAutoHyphens w:val="true"/>
        <w:overflowPunct w:val="false"/>
        <w:spacing w:lineRule="exact" w:line="460"/>
        <w:ind w:left="1247" w:right="0" w:hanging="567"/>
        <w:jc w:val="both"/>
        <w:rPr>
          <w:rFonts w:ascii="標楷體" w:hAnsi="標楷體" w:eastAsia="標楷體"/>
          <w:color w:val="000000"/>
          <w:sz w:val="28"/>
          <w:szCs w:val="28"/>
        </w:rPr>
      </w:pPr>
      <w:r>
        <w:rPr>
          <w:rFonts w:ascii="標楷體" w:hAnsi="標楷體" w:eastAsia="標楷體"/>
          <w:color w:val="000000"/>
          <w:sz w:val="28"/>
          <w:szCs w:val="28"/>
        </w:rPr>
        <w:t>教師應配合本部相關新南向師資政策公開發表教學成果，或協助辦理各項教學推廣活動。</w:t>
      </w:r>
    </w:p>
    <w:p>
      <w:pPr>
        <w:pStyle w:val="Style23"/>
        <w:widowControl w:val="false"/>
        <w:numPr>
          <w:ilvl w:val="0"/>
          <w:numId w:val="13"/>
        </w:numPr>
        <w:tabs>
          <w:tab w:val="left" w:pos="169" w:leader="none"/>
        </w:tabs>
        <w:suppressAutoHyphens w:val="true"/>
        <w:overflowPunct w:val="false"/>
        <w:spacing w:lineRule="exact" w:line="460"/>
        <w:ind w:left="1247" w:right="0" w:hanging="567"/>
        <w:jc w:val="both"/>
        <w:rPr>
          <w:rFonts w:ascii="標楷體" w:hAnsi="標楷體" w:eastAsia="標楷體"/>
          <w:color w:val="000000"/>
          <w:sz w:val="28"/>
          <w:szCs w:val="28"/>
        </w:rPr>
      </w:pPr>
      <w:r>
        <w:rPr>
          <w:rFonts w:ascii="標楷體" w:hAnsi="標楷體" w:eastAsia="標楷體"/>
          <w:color w:val="000000"/>
          <w:sz w:val="28"/>
          <w:szCs w:val="28"/>
        </w:rPr>
        <w:t>教師返回國內並受聘擔任公立學校編制內合格有給專任教師時，其各該段年資得依公立學校教職員退休資遣撫卹條例及其他相關規定，併計為退休年資，或補繳退撫基金年資後，併計為退休年資。</w:t>
      </w:r>
    </w:p>
    <w:p>
      <w:pPr>
        <w:pStyle w:val="Style23"/>
        <w:widowControl w:val="false"/>
        <w:numPr>
          <w:ilvl w:val="0"/>
          <w:numId w:val="13"/>
        </w:numPr>
        <w:tabs>
          <w:tab w:val="left" w:pos="169" w:leader="none"/>
        </w:tabs>
        <w:suppressAutoHyphens w:val="true"/>
        <w:overflowPunct w:val="false"/>
        <w:spacing w:lineRule="exact" w:line="460"/>
        <w:ind w:left="1247" w:right="0" w:hanging="567"/>
        <w:jc w:val="both"/>
        <w:rPr>
          <w:rFonts w:ascii="標楷體" w:hAnsi="標楷體" w:eastAsia="標楷體"/>
          <w:color w:val="000000"/>
          <w:sz w:val="28"/>
          <w:szCs w:val="28"/>
        </w:rPr>
      </w:pPr>
      <w:r>
        <w:rPr>
          <w:rFonts w:ascii="標楷體" w:hAnsi="標楷體" w:eastAsia="標楷體"/>
          <w:color w:val="000000"/>
          <w:sz w:val="28"/>
          <w:szCs w:val="28"/>
        </w:rPr>
        <w:t>教師返回國內後參加教師甄選應依相關規定辦理。</w:t>
      </w:r>
    </w:p>
    <w:p>
      <w:pPr>
        <w:pStyle w:val="Style23"/>
        <w:widowControl w:val="false"/>
        <w:numPr>
          <w:ilvl w:val="0"/>
          <w:numId w:val="0"/>
        </w:numPr>
        <w:tabs>
          <w:tab w:val="left" w:pos="660" w:leader="none"/>
        </w:tabs>
        <w:suppressAutoHyphens w:val="true"/>
        <w:overflowPunct w:val="false"/>
        <w:spacing w:lineRule="exact" w:line="460"/>
        <w:ind w:left="0" w:right="0" w:hanging="0"/>
        <w:jc w:val="both"/>
        <w:rPr>
          <w:rStyle w:val="Style13"/>
          <w:rFonts w:ascii="標楷體" w:hAnsi="標楷體" w:eastAsia="標楷體"/>
          <w:color w:val="000000"/>
          <w:sz w:val="28"/>
          <w:szCs w:val="28"/>
        </w:rPr>
      </w:pPr>
      <w:r>
        <w:rPr/>
      </w:r>
    </w:p>
    <w:sectPr>
      <w:type w:val="nextPage"/>
      <w:pgSz w:w="11906" w:h="16838"/>
      <w:pgMar w:left="1455" w:right="1376" w:header="0" w:top="1418" w:footer="0" w:bottom="1418" w:gutter="0"/>
      <w:pgNumType w:fmt="decimal"/>
      <w:formProt w:val="false"/>
      <w:textDirection w:val="lrTb"/>
      <w:docGrid w:type="lines" w:linePitch="600" w:charSpace="42949468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Arial">
    <w:charset w:val="88"/>
    <w:family w:val="swiss"/>
    <w:pitch w:val="variable"/>
  </w:font>
  <w:font w:name="Times New Roman">
    <w:charset w:val="88"/>
    <w:family w:val="roman"/>
    <w:pitch w:val="variable"/>
  </w:font>
  <w:font w:name="Calibri Light">
    <w:charset w:val="88"/>
    <w:family w:val="swiss"/>
    <w:pitch w:val="variable"/>
  </w:font>
  <w:font w:name="Liberation Sans">
    <w:altName w:val="Arial"/>
    <w:charset w:val="88"/>
    <w:family w:val="swiss"/>
    <w:pitch w:val="variable"/>
  </w:font>
  <w:font w:name="標楷體">
    <w:charset w:val="88"/>
    <w:family w:val="script"/>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taiwaneseCountingThousand"/>
      <w:suff w:val="nothing"/>
      <w:lvlText w:val="%1、"/>
      <w:lvlJc w:val="left"/>
      <w:pPr>
        <w:ind w:left="480" w:hanging="480"/>
      </w:pPr>
      <w:rPr>
        <w:sz w:val="28"/>
        <w:szCs w:val="28"/>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lvl w:ilvl="0">
      <w:start w:val="1"/>
      <w:numFmt w:val="taiwaneseCountingThousand"/>
      <w:suff w:val="nothing"/>
      <w:lvlText w:val="(%1)"/>
      <w:lvlJc w:val="left"/>
      <w:pPr>
        <w:ind w:left="480" w:hanging="480"/>
      </w:pPr>
      <w:rPr>
        <w:sz w:val="28"/>
        <w:szCs w:val="28"/>
        <w:rFonts w:eastAsia="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lvl w:ilvl="0">
      <w:start w:val="1"/>
      <w:numFmt w:val="decimal"/>
      <w:lvlText w:val="%1."/>
      <w:lvlJc w:val="left"/>
      <w:pPr>
        <w:ind w:left="1840" w:hanging="480"/>
      </w:pPr>
      <w:rPr>
        <w:sz w:val="28"/>
        <w:szCs w:val="28"/>
        <w:rFonts w:eastAsia="標楷體"/>
      </w:rPr>
    </w:lvl>
    <w:lvl w:ilvl="1">
      <w:start w:val="1"/>
      <w:numFmt w:val="ideographTraditional"/>
      <w:lvlText w:val="%2、"/>
      <w:lvlJc w:val="left"/>
      <w:pPr>
        <w:ind w:left="2320" w:hanging="480"/>
      </w:pPr>
    </w:lvl>
    <w:lvl w:ilvl="2">
      <w:start w:val="1"/>
      <w:numFmt w:val="lowerRoman"/>
      <w:lvlText w:val="%3."/>
      <w:lvlJc w:val="right"/>
      <w:pPr>
        <w:ind w:left="2800" w:hanging="480"/>
      </w:pPr>
    </w:lvl>
    <w:lvl w:ilvl="3">
      <w:start w:val="1"/>
      <w:numFmt w:val="decimal"/>
      <w:lvlText w:val="%4."/>
      <w:lvlJc w:val="left"/>
      <w:pPr>
        <w:ind w:left="3280" w:hanging="480"/>
      </w:pPr>
    </w:lvl>
    <w:lvl w:ilvl="4">
      <w:start w:val="1"/>
      <w:numFmt w:val="ideographTraditional"/>
      <w:lvlText w:val="%5、"/>
      <w:lvlJc w:val="left"/>
      <w:pPr>
        <w:ind w:left="3760" w:hanging="480"/>
      </w:pPr>
    </w:lvl>
    <w:lvl w:ilvl="5">
      <w:start w:val="1"/>
      <w:numFmt w:val="lowerRoman"/>
      <w:lvlText w:val="%6."/>
      <w:lvlJc w:val="right"/>
      <w:pPr>
        <w:ind w:left="4240" w:hanging="480"/>
      </w:pPr>
    </w:lvl>
    <w:lvl w:ilvl="6">
      <w:start w:val="1"/>
      <w:numFmt w:val="decimal"/>
      <w:lvlText w:val="%7."/>
      <w:lvlJc w:val="left"/>
      <w:pPr>
        <w:ind w:left="4720" w:hanging="480"/>
      </w:pPr>
    </w:lvl>
    <w:lvl w:ilvl="7">
      <w:start w:val="1"/>
      <w:numFmt w:val="ideographTraditional"/>
      <w:lvlText w:val="%8、"/>
      <w:lvlJc w:val="left"/>
      <w:pPr>
        <w:ind w:left="5200" w:hanging="480"/>
      </w:pPr>
    </w:lvl>
    <w:lvl w:ilvl="8">
      <w:start w:val="1"/>
      <w:numFmt w:val="lowerRoman"/>
      <w:lvlText w:val="%9."/>
      <w:lvlJc w:val="right"/>
      <w:pPr>
        <w:ind w:left="5680" w:hanging="480"/>
      </w:pPr>
    </w:lvl>
  </w:abstractNum>
  <w:abstractNum w:abstractNumId="5">
    <w:lvl w:ilvl="0">
      <w:start w:val="1"/>
      <w:numFmt w:val="taiwaneseCountingThousand"/>
      <w:suff w:val="nothing"/>
      <w:lvlText w:val="(%1)"/>
      <w:lvlJc w:val="left"/>
      <w:pPr>
        <w:ind w:left="480" w:hanging="480"/>
      </w:pPr>
      <w:rPr>
        <w:sz w:val="28"/>
        <w:szCs w:val="28"/>
        <w:rFonts w:eastAsia="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lvl w:ilvl="0">
      <w:start w:val="2"/>
      <w:numFmt w:val="taiwaneseCountingThousand"/>
      <w:suff w:val="nothing"/>
      <w:lvlText w:val="(%1)"/>
      <w:lvlJc w:val="left"/>
      <w:pPr>
        <w:ind w:left="480" w:hanging="480"/>
      </w:pPr>
      <w:rPr>
        <w:sz w:val="28"/>
        <w:szCs w:val="28"/>
        <w:rFonts w:eastAsia="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lvl w:ilvl="0">
      <w:start w:val="1"/>
      <w:numFmt w:val="decimal"/>
      <w:lvlText w:val="%1、"/>
      <w:lvlJc w:val="left"/>
      <w:pPr>
        <w:ind w:left="1840" w:hanging="480"/>
      </w:pPr>
    </w:lvl>
    <w:lvl w:ilvl="1">
      <w:start w:val="1"/>
      <w:numFmt w:val="ideographTraditional"/>
      <w:lvlText w:val="%2、"/>
      <w:lvlJc w:val="left"/>
      <w:pPr>
        <w:ind w:left="2320" w:hanging="480"/>
      </w:pPr>
    </w:lvl>
    <w:lvl w:ilvl="2">
      <w:start w:val="1"/>
      <w:numFmt w:val="lowerRoman"/>
      <w:lvlText w:val="%3."/>
      <w:lvlJc w:val="right"/>
      <w:pPr>
        <w:ind w:left="2800" w:hanging="480"/>
      </w:pPr>
    </w:lvl>
    <w:lvl w:ilvl="3">
      <w:start w:val="1"/>
      <w:numFmt w:val="decimal"/>
      <w:lvlText w:val="%4."/>
      <w:lvlJc w:val="left"/>
      <w:pPr>
        <w:ind w:left="3280" w:hanging="480"/>
      </w:pPr>
    </w:lvl>
    <w:lvl w:ilvl="4">
      <w:start w:val="1"/>
      <w:numFmt w:val="ideographTraditional"/>
      <w:lvlText w:val="%5、"/>
      <w:lvlJc w:val="left"/>
      <w:pPr>
        <w:ind w:left="3760" w:hanging="480"/>
      </w:pPr>
    </w:lvl>
    <w:lvl w:ilvl="5">
      <w:start w:val="1"/>
      <w:numFmt w:val="lowerRoman"/>
      <w:lvlText w:val="%6."/>
      <w:lvlJc w:val="right"/>
      <w:pPr>
        <w:ind w:left="4240" w:hanging="480"/>
      </w:pPr>
    </w:lvl>
    <w:lvl w:ilvl="6">
      <w:start w:val="1"/>
      <w:numFmt w:val="decimal"/>
      <w:lvlText w:val="%7."/>
      <w:lvlJc w:val="left"/>
      <w:pPr>
        <w:ind w:left="4720" w:hanging="480"/>
      </w:pPr>
    </w:lvl>
    <w:lvl w:ilvl="7">
      <w:start w:val="1"/>
      <w:numFmt w:val="ideographTraditional"/>
      <w:lvlText w:val="%8、"/>
      <w:lvlJc w:val="left"/>
      <w:pPr>
        <w:ind w:left="5200" w:hanging="480"/>
      </w:pPr>
    </w:lvl>
    <w:lvl w:ilvl="8">
      <w:start w:val="1"/>
      <w:numFmt w:val="lowerRoman"/>
      <w:lvlText w:val="%9."/>
      <w:lvlJc w:val="right"/>
      <w:pPr>
        <w:ind w:left="5680" w:hanging="480"/>
      </w:pPr>
    </w:lvl>
  </w:abstractNum>
  <w:abstractNum w:abstractNumId="8">
    <w:lvl w:ilvl="0">
      <w:start w:val="1"/>
      <w:numFmt w:val="taiwaneseCountingThousand"/>
      <w:suff w:val="nothing"/>
      <w:lvlText w:val="(%1)"/>
      <w:lvlJc w:val="left"/>
      <w:pPr>
        <w:ind w:left="480" w:hanging="480"/>
      </w:pPr>
      <w:rPr>
        <w:sz w:val="28"/>
        <w:szCs w:val="28"/>
        <w:rFonts w:eastAsia="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lvl w:ilvl="0">
      <w:start w:val="1"/>
      <w:numFmt w:val="decimal"/>
      <w:lvlText w:val="%1、"/>
      <w:lvlJc w:val="left"/>
      <w:pPr>
        <w:ind w:left="1840" w:hanging="480"/>
      </w:pPr>
    </w:lvl>
    <w:lvl w:ilvl="1">
      <w:start w:val="1"/>
      <w:numFmt w:val="ideographTraditional"/>
      <w:lvlText w:val="%2、"/>
      <w:lvlJc w:val="left"/>
      <w:pPr>
        <w:ind w:left="2320" w:hanging="480"/>
      </w:pPr>
    </w:lvl>
    <w:lvl w:ilvl="2">
      <w:start w:val="1"/>
      <w:numFmt w:val="lowerRoman"/>
      <w:lvlText w:val="%3."/>
      <w:lvlJc w:val="right"/>
      <w:pPr>
        <w:ind w:left="2800" w:hanging="480"/>
      </w:pPr>
    </w:lvl>
    <w:lvl w:ilvl="3">
      <w:start w:val="1"/>
      <w:numFmt w:val="decimal"/>
      <w:lvlText w:val="%4."/>
      <w:lvlJc w:val="left"/>
      <w:pPr>
        <w:ind w:left="3280" w:hanging="480"/>
      </w:pPr>
    </w:lvl>
    <w:lvl w:ilvl="4">
      <w:start w:val="1"/>
      <w:numFmt w:val="ideographTraditional"/>
      <w:lvlText w:val="%5、"/>
      <w:lvlJc w:val="left"/>
      <w:pPr>
        <w:ind w:left="3760" w:hanging="480"/>
      </w:pPr>
    </w:lvl>
    <w:lvl w:ilvl="5">
      <w:start w:val="1"/>
      <w:numFmt w:val="lowerRoman"/>
      <w:lvlText w:val="%6."/>
      <w:lvlJc w:val="right"/>
      <w:pPr>
        <w:ind w:left="4240" w:hanging="480"/>
      </w:pPr>
    </w:lvl>
    <w:lvl w:ilvl="6">
      <w:start w:val="1"/>
      <w:numFmt w:val="decimal"/>
      <w:lvlText w:val="%7."/>
      <w:lvlJc w:val="left"/>
      <w:pPr>
        <w:ind w:left="4720" w:hanging="480"/>
      </w:pPr>
    </w:lvl>
    <w:lvl w:ilvl="7">
      <w:start w:val="1"/>
      <w:numFmt w:val="ideographTraditional"/>
      <w:lvlText w:val="%8、"/>
      <w:lvlJc w:val="left"/>
      <w:pPr>
        <w:ind w:left="5200" w:hanging="480"/>
      </w:pPr>
    </w:lvl>
    <w:lvl w:ilvl="8">
      <w:start w:val="1"/>
      <w:numFmt w:val="lowerRoman"/>
      <w:lvlText w:val="%9."/>
      <w:lvlJc w:val="right"/>
      <w:pPr>
        <w:ind w:left="5680" w:hanging="480"/>
      </w:pPr>
    </w:lvl>
  </w:abstractNum>
  <w:abstractNum w:abstractNumId="10">
    <w:lvl w:ilvl="0">
      <w:start w:val="1"/>
      <w:numFmt w:val="decimal"/>
      <w:lvlText w:val="%1、"/>
      <w:lvlJc w:val="left"/>
      <w:pPr>
        <w:ind w:left="1744" w:hanging="480"/>
      </w:pPr>
    </w:lvl>
    <w:lvl w:ilvl="1">
      <w:start w:val="1"/>
      <w:numFmt w:val="ideographTraditional"/>
      <w:lvlText w:val="%2、"/>
      <w:lvlJc w:val="left"/>
      <w:pPr>
        <w:ind w:left="2224" w:hanging="480"/>
      </w:pPr>
    </w:lvl>
    <w:lvl w:ilvl="2">
      <w:start w:val="1"/>
      <w:numFmt w:val="lowerRoman"/>
      <w:lvlText w:val="%3."/>
      <w:lvlJc w:val="right"/>
      <w:pPr>
        <w:ind w:left="2704" w:hanging="480"/>
      </w:pPr>
    </w:lvl>
    <w:lvl w:ilvl="3">
      <w:start w:val="1"/>
      <w:numFmt w:val="decimal"/>
      <w:lvlText w:val="%4."/>
      <w:lvlJc w:val="left"/>
      <w:pPr>
        <w:ind w:left="3184" w:hanging="480"/>
      </w:pPr>
    </w:lvl>
    <w:lvl w:ilvl="4">
      <w:start w:val="1"/>
      <w:numFmt w:val="ideographTraditional"/>
      <w:lvlText w:val="%5、"/>
      <w:lvlJc w:val="left"/>
      <w:pPr>
        <w:ind w:left="3664" w:hanging="480"/>
      </w:pPr>
    </w:lvl>
    <w:lvl w:ilvl="5">
      <w:start w:val="1"/>
      <w:numFmt w:val="lowerRoman"/>
      <w:lvlText w:val="%6."/>
      <w:lvlJc w:val="right"/>
      <w:pPr>
        <w:ind w:left="4144" w:hanging="480"/>
      </w:pPr>
    </w:lvl>
    <w:lvl w:ilvl="6">
      <w:start w:val="1"/>
      <w:numFmt w:val="decimal"/>
      <w:lvlText w:val="%7."/>
      <w:lvlJc w:val="left"/>
      <w:pPr>
        <w:ind w:left="4624" w:hanging="480"/>
      </w:pPr>
    </w:lvl>
    <w:lvl w:ilvl="7">
      <w:start w:val="1"/>
      <w:numFmt w:val="ideographTraditional"/>
      <w:lvlText w:val="%8、"/>
      <w:lvlJc w:val="left"/>
      <w:pPr>
        <w:ind w:left="5104" w:hanging="480"/>
      </w:pPr>
    </w:lvl>
    <w:lvl w:ilvl="8">
      <w:start w:val="1"/>
      <w:numFmt w:val="lowerRoman"/>
      <w:lvlText w:val="%9."/>
      <w:lvlJc w:val="right"/>
      <w:pPr>
        <w:ind w:left="5584" w:hanging="480"/>
      </w:pPr>
    </w:lvl>
  </w:abstractNum>
  <w:abstractNum w:abstractNumId="11">
    <w:lvl w:ilvl="0">
      <w:start w:val="1"/>
      <w:numFmt w:val="decimal"/>
      <w:lvlText w:val="%1、"/>
      <w:lvlJc w:val="left"/>
      <w:pPr>
        <w:ind w:left="1840" w:hanging="480"/>
      </w:pPr>
    </w:lvl>
    <w:lvl w:ilvl="1">
      <w:start w:val="1"/>
      <w:numFmt w:val="ideographTraditional"/>
      <w:lvlText w:val="%2、"/>
      <w:lvlJc w:val="left"/>
      <w:pPr>
        <w:ind w:left="2320" w:hanging="480"/>
      </w:pPr>
    </w:lvl>
    <w:lvl w:ilvl="2">
      <w:start w:val="1"/>
      <w:numFmt w:val="lowerRoman"/>
      <w:lvlText w:val="%3."/>
      <w:lvlJc w:val="right"/>
      <w:pPr>
        <w:ind w:left="2800" w:hanging="480"/>
      </w:pPr>
    </w:lvl>
    <w:lvl w:ilvl="3">
      <w:start w:val="1"/>
      <w:numFmt w:val="decimal"/>
      <w:lvlText w:val="%4."/>
      <w:lvlJc w:val="left"/>
      <w:pPr>
        <w:ind w:left="3280" w:hanging="480"/>
      </w:pPr>
    </w:lvl>
    <w:lvl w:ilvl="4">
      <w:start w:val="1"/>
      <w:numFmt w:val="ideographTraditional"/>
      <w:lvlText w:val="%5、"/>
      <w:lvlJc w:val="left"/>
      <w:pPr>
        <w:ind w:left="3760" w:hanging="480"/>
      </w:pPr>
    </w:lvl>
    <w:lvl w:ilvl="5">
      <w:start w:val="1"/>
      <w:numFmt w:val="lowerRoman"/>
      <w:lvlText w:val="%6."/>
      <w:lvlJc w:val="right"/>
      <w:pPr>
        <w:ind w:left="4240" w:hanging="480"/>
      </w:pPr>
    </w:lvl>
    <w:lvl w:ilvl="6">
      <w:start w:val="1"/>
      <w:numFmt w:val="decimal"/>
      <w:lvlText w:val="%7."/>
      <w:lvlJc w:val="left"/>
      <w:pPr>
        <w:ind w:left="4720" w:hanging="480"/>
      </w:pPr>
    </w:lvl>
    <w:lvl w:ilvl="7">
      <w:start w:val="1"/>
      <w:numFmt w:val="ideographTraditional"/>
      <w:lvlText w:val="%8、"/>
      <w:lvlJc w:val="left"/>
      <w:pPr>
        <w:ind w:left="5200" w:hanging="480"/>
      </w:pPr>
    </w:lvl>
    <w:lvl w:ilvl="8">
      <w:start w:val="1"/>
      <w:numFmt w:val="lowerRoman"/>
      <w:lvlText w:val="%9."/>
      <w:lvlJc w:val="right"/>
      <w:pPr>
        <w:ind w:left="5680" w:hanging="480"/>
      </w:pPr>
    </w:lvl>
  </w:abstractNum>
  <w:abstractNum w:abstractNumId="12">
    <w:lvl w:ilvl="0">
      <w:start w:val="1"/>
      <w:numFmt w:val="decimal"/>
      <w:lvlText w:val="%1、"/>
      <w:lvlJc w:val="left"/>
      <w:pPr>
        <w:ind w:left="1840" w:hanging="480"/>
      </w:pPr>
    </w:lvl>
    <w:lvl w:ilvl="1">
      <w:start w:val="1"/>
      <w:numFmt w:val="ideographTraditional"/>
      <w:lvlText w:val="%2、"/>
      <w:lvlJc w:val="left"/>
      <w:pPr>
        <w:ind w:left="2320" w:hanging="480"/>
      </w:pPr>
    </w:lvl>
    <w:lvl w:ilvl="2">
      <w:start w:val="1"/>
      <w:numFmt w:val="lowerRoman"/>
      <w:lvlText w:val="%3."/>
      <w:lvlJc w:val="right"/>
      <w:pPr>
        <w:ind w:left="2800" w:hanging="480"/>
      </w:pPr>
    </w:lvl>
    <w:lvl w:ilvl="3">
      <w:start w:val="1"/>
      <w:numFmt w:val="decimal"/>
      <w:lvlText w:val="%4."/>
      <w:lvlJc w:val="left"/>
      <w:pPr>
        <w:ind w:left="3280" w:hanging="480"/>
      </w:pPr>
    </w:lvl>
    <w:lvl w:ilvl="4">
      <w:start w:val="1"/>
      <w:numFmt w:val="ideographTraditional"/>
      <w:lvlText w:val="%5、"/>
      <w:lvlJc w:val="left"/>
      <w:pPr>
        <w:ind w:left="3760" w:hanging="480"/>
      </w:pPr>
    </w:lvl>
    <w:lvl w:ilvl="5">
      <w:start w:val="1"/>
      <w:numFmt w:val="lowerRoman"/>
      <w:lvlText w:val="%6."/>
      <w:lvlJc w:val="right"/>
      <w:pPr>
        <w:ind w:left="4240" w:hanging="480"/>
      </w:pPr>
    </w:lvl>
    <w:lvl w:ilvl="6">
      <w:start w:val="1"/>
      <w:numFmt w:val="decimal"/>
      <w:lvlText w:val="%7."/>
      <w:lvlJc w:val="left"/>
      <w:pPr>
        <w:ind w:left="4720" w:hanging="480"/>
      </w:pPr>
    </w:lvl>
    <w:lvl w:ilvl="7">
      <w:start w:val="1"/>
      <w:numFmt w:val="ideographTraditional"/>
      <w:lvlText w:val="%8、"/>
      <w:lvlJc w:val="left"/>
      <w:pPr>
        <w:ind w:left="5200" w:hanging="480"/>
      </w:pPr>
    </w:lvl>
    <w:lvl w:ilvl="8">
      <w:start w:val="1"/>
      <w:numFmt w:val="lowerRoman"/>
      <w:lvlText w:val="%9."/>
      <w:lvlJc w:val="right"/>
      <w:pPr>
        <w:ind w:left="5680" w:hanging="480"/>
      </w:pPr>
    </w:lvl>
  </w:abstractNum>
  <w:abstractNum w:abstractNumId="13">
    <w:lvl w:ilvl="0">
      <w:start w:val="1"/>
      <w:numFmt w:val="taiwaneseCountingThousand"/>
      <w:suff w:val="nothing"/>
      <w:lvlText w:val="(%1)"/>
      <w:lvlJc w:val="left"/>
      <w:pPr>
        <w:ind w:left="905" w:hanging="480"/>
      </w:pPr>
      <w:rPr>
        <w:sz w:val="28"/>
        <w:szCs w:val="28"/>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48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lang w:val="en-US" w:eastAsia="zh-TW" w:bidi="ar-SA"/>
      </w:rPr>
    </w:rPrDefault>
    <w:pPrDefault>
      <w:pPr>
        <w:widowControl/>
        <w:suppressAutoHyphens w:val="false"/>
        <w:textAlignment w:val="baseline"/>
      </w:pPr>
    </w:pPrDefault>
  </w:docDefaults>
  <w:style w:type="paragraph" w:styleId="Normal">
    <w:name w:val="Normal"/>
    <w:qFormat/>
    <w:pPr>
      <w:keepNext/>
      <w:keepLines w:val="false"/>
      <w:pageBreakBefore w:val="false"/>
      <w:widowControl/>
      <w:pBdr/>
      <w:shd w:fill="FFFFFF" w:val="clear"/>
      <w:kinsoku w:val="true"/>
      <w:overflowPunct w:val="true"/>
      <w:autoSpaceDE w:val="true"/>
      <w:bidi w:val="0"/>
      <w:snapToGrid w:val="true"/>
      <w:spacing w:lineRule="auto" w:line="24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position w:val="0"/>
      <w:sz w:val="20"/>
      <w:sz w:val="20"/>
      <w:szCs w:val="20"/>
      <w:u w:val="none"/>
      <w:vertAlign w:val="baseline"/>
      <w:em w:val="none"/>
      <w:lang w:val="en-US" w:eastAsia="zh-TW" w:bidi="ar-SA"/>
    </w:rPr>
  </w:style>
  <w:style w:type="paragraph" w:styleId="3">
    <w:name w:val="標題 3"/>
    <w:basedOn w:val="Style20"/>
    <w:next w:val="Style20"/>
    <w:pPr>
      <w:keepNext/>
      <w:numPr>
        <w:ilvl w:val="2"/>
        <w:numId w:val="1"/>
      </w:numPr>
      <w:suppressAutoHyphens w:val="true"/>
      <w:spacing w:lineRule="auto" w:line="720"/>
      <w:outlineLvl w:val="2"/>
      <w:outlineLvl w:val="2"/>
    </w:pPr>
    <w:rPr>
      <w:rFonts w:ascii="Arial" w:hAnsi="Arial"/>
      <w:b/>
      <w:bCs/>
      <w:sz w:val="36"/>
      <w:szCs w:val="36"/>
    </w:rPr>
  </w:style>
  <w:style w:type="character" w:styleId="Style13">
    <w:name w:val="預設段落字型"/>
    <w:qFormat/>
    <w:rPr/>
  </w:style>
  <w:style w:type="character" w:styleId="Style14">
    <w:name w:val="頁首 字元"/>
    <w:qFormat/>
    <w:rPr>
      <w:rFonts w:ascii="Times New Roman" w:hAnsi="Times New Roman" w:eastAsia="新細明體" w:cs="Times New Roman"/>
      <w:sz w:val="20"/>
      <w:szCs w:val="20"/>
    </w:rPr>
  </w:style>
  <w:style w:type="character" w:styleId="Style15">
    <w:name w:val="頁尾 字元"/>
    <w:qFormat/>
    <w:rPr>
      <w:rFonts w:ascii="Times New Roman" w:hAnsi="Times New Roman" w:eastAsia="新細明體" w:cs="Times New Roman"/>
      <w:sz w:val="20"/>
      <w:szCs w:val="20"/>
    </w:rPr>
  </w:style>
  <w:style w:type="character" w:styleId="31">
    <w:name w:val="標題 3 字元"/>
    <w:qFormat/>
    <w:rPr>
      <w:rFonts w:ascii="Arial" w:hAnsi="Arial" w:eastAsia="新細明體" w:cs="Times New Roman"/>
      <w:b/>
      <w:bCs/>
      <w:sz w:val="36"/>
      <w:szCs w:val="36"/>
    </w:rPr>
  </w:style>
  <w:style w:type="character" w:styleId="Style16">
    <w:name w:val="註解方塊文字 字元"/>
    <w:qFormat/>
    <w:rPr>
      <w:rFonts w:ascii="Calibri Light" w:hAnsi="Calibri Light" w:eastAsia="新細明體" w:cs="Times New Roman"/>
      <w:sz w:val="18"/>
      <w:szCs w:val="18"/>
    </w:rPr>
  </w:style>
  <w:style w:type="character" w:styleId="Style17">
    <w:name w:val="超連結"/>
    <w:basedOn w:val="Style13"/>
    <w:qFormat/>
    <w:rPr>
      <w:color w:val="0563C1"/>
      <w:u w:val="single"/>
    </w:rPr>
  </w:style>
  <w:style w:type="character" w:styleId="WWCharLFO1LVL1">
    <w:name w:val="WW_CharLFO1LVL1"/>
    <w:qFormat/>
    <w:rPr>
      <w:lang w:val="en-US"/>
    </w:rPr>
  </w:style>
  <w:style w:type="character" w:styleId="WWCharLFO2LVL1">
    <w:name w:val="WW_CharLFO2LVL1"/>
    <w:qFormat/>
    <w:rPr>
      <w:b w:val="false"/>
      <w:color w:val="000000"/>
      <w:u w:val="none"/>
    </w:rPr>
  </w:style>
  <w:style w:type="character" w:styleId="WWCharLFO4LVL1">
    <w:name w:val="WW_CharLFO4LVL1"/>
    <w:qFormat/>
    <w:rPr>
      <w:b w:val="false"/>
      <w:color w:val="000000"/>
      <w:u w:val="none"/>
    </w:rPr>
  </w:style>
  <w:style w:type="character" w:styleId="WWCharLFO5LVL1">
    <w:name w:val="WW_CharLFO5LVL1"/>
    <w:qFormat/>
    <w:rPr>
      <w:b w:val="false"/>
      <w:color w:val="000000"/>
      <w:u w:val="none"/>
    </w:rPr>
  </w:style>
  <w:style w:type="character" w:styleId="WWCharLFO7LVL1">
    <w:name w:val="WW_CharLFO7LVL1"/>
    <w:qFormat/>
    <w:rPr>
      <w:b w:val="false"/>
      <w:color w:val="000000"/>
      <w:u w:val="none"/>
    </w:rPr>
  </w:style>
  <w:style w:type="character" w:styleId="WWCharLFO12LVL1">
    <w:name w:val="WW_CharLFO12LVL1"/>
    <w:qFormat/>
    <w:rPr>
      <w:b w:val="false"/>
      <w:strike w:val="false"/>
      <w:dstrike w:val="false"/>
      <w:color w:val="000000"/>
      <w:u w:val="none"/>
      <w:lang w:val="en-US"/>
    </w:rPr>
  </w:style>
  <w:style w:type="character" w:styleId="Style18">
    <w:name w:val="編號字元"/>
    <w:qFormat/>
    <w:rPr>
      <w:rFonts w:eastAsia="標楷體"/>
      <w:sz w:val="28"/>
      <w:szCs w:val="28"/>
    </w:rPr>
  </w:style>
  <w:style w:type="paragraph" w:styleId="Style19">
    <w:name w:val="標題"/>
    <w:basedOn w:val="Normal"/>
    <w:next w:val="Style20"/>
    <w:qFormat/>
    <w:pPr>
      <w:keepNext/>
      <w:spacing w:before="240" w:after="120"/>
    </w:pPr>
    <w:rPr>
      <w:rFonts w:ascii="Liberation Sans" w:hAnsi="Liberation Sans" w:eastAsia="微軟正黑體" w:cs="Tahoma"/>
      <w:sz w:val="28"/>
      <w:szCs w:val="28"/>
    </w:rPr>
  </w:style>
  <w:style w:type="paragraph" w:styleId="Style20">
    <w:name w:val="內文"/>
    <w:pPr>
      <w:keepNext/>
      <w:keepLines w:val="false"/>
      <w:pageBreakBefore w:val="false"/>
      <w:widowControl w:val="false"/>
      <w:pBdr/>
      <w:shd w:fill="FFFFFF"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position w:val="0"/>
      <w:sz w:val="24"/>
      <w:sz w:val="24"/>
      <w:szCs w:val="24"/>
      <w:u w:val="none"/>
      <w:vertAlign w:val="baseline"/>
      <w:em w:val="none"/>
      <w:lang w:val="en-US" w:eastAsia="zh-TW" w:bidi="ar-SA"/>
    </w:rPr>
  </w:style>
  <w:style w:type="paragraph" w:styleId="HeaderandFooter">
    <w:name w:val="Header and Footer"/>
    <w:basedOn w:val="Normal"/>
    <w:qFormat/>
    <w:pPr>
      <w:suppressLineNumbers/>
      <w:tabs>
        <w:tab w:val="center" w:pos="4819" w:leader="none"/>
        <w:tab w:val="right" w:pos="9638" w:leader="none"/>
      </w:tabs>
    </w:pPr>
    <w:rPr/>
  </w:style>
  <w:style w:type="paragraph" w:styleId="Style21">
    <w:name w:val="頁首"/>
    <w:basedOn w:val="Style20"/>
    <w:pPr>
      <w:tabs>
        <w:tab w:val="center" w:pos="4153" w:leader="none"/>
        <w:tab w:val="right" w:pos="8306" w:leader="none"/>
      </w:tabs>
      <w:suppressAutoHyphens w:val="true"/>
      <w:snapToGrid w:val="false"/>
    </w:pPr>
    <w:rPr>
      <w:sz w:val="20"/>
      <w:szCs w:val="20"/>
    </w:rPr>
  </w:style>
  <w:style w:type="paragraph" w:styleId="Style22">
    <w:name w:val="頁尾"/>
    <w:basedOn w:val="Style20"/>
    <w:pPr>
      <w:tabs>
        <w:tab w:val="center" w:pos="4153" w:leader="none"/>
        <w:tab w:val="right" w:pos="8306" w:leader="none"/>
      </w:tabs>
      <w:suppressAutoHyphens w:val="true"/>
      <w:snapToGrid w:val="false"/>
    </w:pPr>
    <w:rPr>
      <w:sz w:val="20"/>
      <w:szCs w:val="20"/>
    </w:rPr>
  </w:style>
  <w:style w:type="paragraph" w:styleId="Style23">
    <w:name w:val="清單段落"/>
    <w:basedOn w:val="Style20"/>
    <w:qFormat/>
    <w:pPr>
      <w:suppressAutoHyphens w:val="true"/>
      <w:ind w:left="480" w:right="0" w:hanging="0"/>
    </w:pPr>
    <w:rPr>
      <w:rFonts w:ascii="Calibri" w:hAnsi="Calibri"/>
      <w:szCs w:val="22"/>
    </w:rPr>
  </w:style>
  <w:style w:type="paragraph" w:styleId="Style24">
    <w:name w:val="註解方塊文字"/>
    <w:basedOn w:val="Style20"/>
    <w:qFormat/>
    <w:pPr>
      <w:suppressAutoHyphens w:val="true"/>
    </w:pPr>
    <w:rPr>
      <w:rFonts w:ascii="Calibri Light" w:hAnsi="Calibri Light"/>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15</TotalTime>
  <Application>LibreOffice/5.0.4.2$Windows_x86 LibreOffice_project/2b9802c1994aa0b7dc6079e128979269cf95bc78</Application>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2020-07-21T05:44:00Z</dcterms:created>
  <dc:creator>moejsmpc</dc:creator>
  <dc:language>zh-TW</dc:language>
  <cp:lastPrinted>2020-07-21T16:18:18Z</cp:lastPrinted>
  <dcterms:modified xsi:type="dcterms:W3CDTF">2020-07-21T16:18:27Z</dcterms:modified>
  <cp:revision>7</cp:revision>
</cp:coreProperties>
</file>