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8606846"/>
    <w:bookmarkStart w:id="1" w:name="_Toc467757517"/>
    <w:bookmarkStart w:id="2" w:name="_GoBack"/>
    <w:bookmarkEnd w:id="2"/>
    <w:p w:rsidR="00FA230E" w:rsidRPr="00B448BD" w:rsidRDefault="0039735B" w:rsidP="002E5A0A">
      <w:pPr>
        <w:widowControl/>
        <w:jc w:val="center"/>
        <w:rPr>
          <w:rStyle w:val="FontStyle233"/>
          <w:rFonts w:ascii="標楷體" w:eastAsia="標楷體"/>
          <w:bCs w:val="0"/>
          <w:color w:val="auto"/>
        </w:rPr>
      </w:pPr>
      <w:r w:rsidRPr="0039735B">
        <w:rPr>
          <w:rStyle w:val="FontStyle233"/>
          <w:rFonts w:ascii="標楷體" w:eastAsia="標楷體"/>
          <w:bCs w:val="0"/>
          <w:noProof/>
          <w:color w:val="auto"/>
        </w:rPr>
        <mc:AlternateContent>
          <mc:Choice Requires="wps">
            <w:drawing>
              <wp:anchor distT="0" distB="0" distL="114300" distR="114300" simplePos="0" relativeHeight="251663360" behindDoc="0" locked="0" layoutInCell="1" allowOverlap="1" wp14:anchorId="48932353" wp14:editId="4FBEF29B">
                <wp:simplePos x="0" y="0"/>
                <wp:positionH relativeFrom="margin">
                  <wp:posOffset>5594350</wp:posOffset>
                </wp:positionH>
                <wp:positionV relativeFrom="margin">
                  <wp:posOffset>-348615</wp:posOffset>
                </wp:positionV>
                <wp:extent cx="733425" cy="244475"/>
                <wp:effectExtent l="0" t="0" r="28575" b="2222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4475"/>
                        </a:xfrm>
                        <a:prstGeom prst="rect">
                          <a:avLst/>
                        </a:prstGeom>
                        <a:solidFill>
                          <a:srgbClr val="FFFFFF"/>
                        </a:solidFill>
                        <a:ln w="9525">
                          <a:solidFill>
                            <a:srgbClr val="000000"/>
                          </a:solidFill>
                          <a:miter lim="800000"/>
                          <a:headEnd/>
                          <a:tailEnd/>
                        </a:ln>
                      </wps:spPr>
                      <wps:txb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32353"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mc:Fallback>
        </mc:AlternateConten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自學進修國民中、小學級畢業程度（含身心障礙國民）學力鑑定考試簡章</w:t>
      </w:r>
      <w:bookmarkEnd w:id="0"/>
      <w:bookmarkEnd w:id="1"/>
    </w:p>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349"/>
        <w:gridCol w:w="1356"/>
        <w:gridCol w:w="1306"/>
        <w:gridCol w:w="1335"/>
        <w:gridCol w:w="1407"/>
        <w:gridCol w:w="1408"/>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3" w:name="_Toc418606847"/>
    </w:p>
    <w:p w:rsidR="00FA230E" w:rsidRPr="00CB525D" w:rsidRDefault="00CB525D" w:rsidP="00CB525D">
      <w:pPr>
        <w:snapToGrid w:val="0"/>
        <w:jc w:val="center"/>
        <w:rPr>
          <w:rStyle w:val="FontStyle233"/>
          <w:rFonts w:ascii="標楷體" w:eastAsia="標楷體"/>
          <w:color w:val="auto"/>
        </w:rPr>
      </w:pPr>
      <w:bookmarkStart w:id="4" w:name="_Toc467757518"/>
      <w:r w:rsidRPr="00E91560">
        <w:rPr>
          <w:rFonts w:ascii="標楷體" w:eastAsia="標楷體" w:hAnsi="標楷體" w:hint="eastAsia"/>
          <w:b/>
          <w:sz w:val="30"/>
          <w:szCs w:val="30"/>
        </w:rPr>
        <w:lastRenderedPageBreak/>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3"/>
      <w:bookmarkEnd w:id="4"/>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7"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5" w:name="_Toc418606848"/>
      <w:bookmarkStart w:id="6"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5"/>
      <w:bookmarkEnd w:id="6"/>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lastRenderedPageBreak/>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8"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87431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677" w:rsidRDefault="00FD1677" w:rsidP="00CE5A33">
      <w:r>
        <w:separator/>
      </w:r>
    </w:p>
  </w:endnote>
  <w:endnote w:type="continuationSeparator" w:id="0">
    <w:p w:rsidR="00FD1677" w:rsidRDefault="00FD1677"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873060"/>
      <w:docPartObj>
        <w:docPartGallery w:val="Page Numbers (Bottom of Page)"/>
        <w:docPartUnique/>
      </w:docPartObj>
    </w:sdtPr>
    <w:sdtEndPr/>
    <w:sdtContent>
      <w:p w:rsidR="002C675C" w:rsidRDefault="002C675C">
        <w:pPr>
          <w:pStyle w:val="a5"/>
          <w:jc w:val="center"/>
        </w:pPr>
        <w:r>
          <w:fldChar w:fldCharType="begin"/>
        </w:r>
        <w:r>
          <w:instrText xml:space="preserve"> PAGE   \* MERGEFORMAT </w:instrText>
        </w:r>
        <w:r>
          <w:fldChar w:fldCharType="separate"/>
        </w:r>
        <w:r w:rsidR="009653F7" w:rsidRPr="009653F7">
          <w:rPr>
            <w:noProof/>
            <w:lang w:val="zh-TW"/>
          </w:rPr>
          <w:t>1</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677" w:rsidRDefault="00FD1677" w:rsidP="00CE5A33">
      <w:r>
        <w:separator/>
      </w:r>
    </w:p>
  </w:footnote>
  <w:footnote w:type="continuationSeparator" w:id="0">
    <w:p w:rsidR="00FD1677" w:rsidRDefault="00FD1677"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3F7"/>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1677"/>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2D4D561-1A96-4BAA-BE0A-9EF580C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1D283-771D-40FA-A2BB-10803373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2018-12-19T10:01:00Z</cp:lastPrinted>
  <dcterms:created xsi:type="dcterms:W3CDTF">2019-01-11T01:13:00Z</dcterms:created>
  <dcterms:modified xsi:type="dcterms:W3CDTF">2019-01-11T01:13:00Z</dcterms:modified>
</cp:coreProperties>
</file>